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A326" w14:textId="77777777" w:rsidR="002C46C4" w:rsidRDefault="002C46C4" w:rsidP="002C46C4">
      <w:pPr>
        <w:pStyle w:val="SOPLevel1"/>
        <w:numPr>
          <w:ilvl w:val="0"/>
          <w:numId w:val="3"/>
        </w:numPr>
      </w:pPr>
      <w:r>
        <w:t>PURPOSE</w:t>
      </w:r>
    </w:p>
    <w:p w14:paraId="7582BBE6" w14:textId="77777777" w:rsidR="002C46C4" w:rsidRPr="004C046E" w:rsidRDefault="002C46C4" w:rsidP="002C46C4">
      <w:pPr>
        <w:pStyle w:val="SOPLevel2"/>
        <w:numPr>
          <w:ilvl w:val="1"/>
          <w:numId w:val="2"/>
        </w:numPr>
      </w:pPr>
      <w:r>
        <w:t>T</w:t>
      </w:r>
      <w:r w:rsidRPr="004C046E">
        <w:t xml:space="preserve">his procedure </w:t>
      </w:r>
      <w:r>
        <w:t>establishes the process to manage new information</w:t>
      </w:r>
      <w:r w:rsidRPr="004C046E">
        <w:t>.</w:t>
      </w:r>
    </w:p>
    <w:p w14:paraId="336F5141" w14:textId="77777777" w:rsidR="002C46C4" w:rsidRPr="004C046E" w:rsidRDefault="002C46C4" w:rsidP="002C46C4">
      <w:pPr>
        <w:pStyle w:val="SOPLevel2"/>
        <w:numPr>
          <w:ilvl w:val="1"/>
          <w:numId w:val="2"/>
        </w:numPr>
      </w:pPr>
      <w:r w:rsidRPr="004C046E">
        <w:t xml:space="preserve">This procedure begins when an IRB </w:t>
      </w:r>
      <w:r>
        <w:t>receives information that is not a request for a determination (regardless of whether the information is reportable) or receives reportable new information as part of a submission</w:t>
      </w:r>
      <w:r w:rsidRPr="004C046E">
        <w:t>.</w:t>
      </w:r>
    </w:p>
    <w:p w14:paraId="508CF744" w14:textId="77777777" w:rsidR="002C46C4" w:rsidRPr="004C046E" w:rsidRDefault="002C46C4" w:rsidP="002C46C4">
      <w:pPr>
        <w:pStyle w:val="SOPLevel2"/>
        <w:numPr>
          <w:ilvl w:val="1"/>
          <w:numId w:val="2"/>
        </w:numPr>
      </w:pPr>
      <w:r w:rsidRPr="004C046E">
        <w:t>This procedure ends when</w:t>
      </w:r>
      <w:r>
        <w:t xml:space="preserve"> an HRPP staff member or [IRB Executive Chair] has determined whether the information requires reporting to the convened IRB</w:t>
      </w:r>
      <w:r w:rsidRPr="004C046E">
        <w:t>.</w:t>
      </w:r>
    </w:p>
    <w:p w14:paraId="4AF6BE93" w14:textId="77777777" w:rsidR="002C46C4" w:rsidRDefault="002C46C4" w:rsidP="002C46C4">
      <w:pPr>
        <w:pStyle w:val="SOPLevel1"/>
        <w:numPr>
          <w:ilvl w:val="0"/>
          <w:numId w:val="3"/>
        </w:numPr>
      </w:pPr>
      <w:r>
        <w:t>POLICY</w:t>
      </w:r>
    </w:p>
    <w:p w14:paraId="0E692342" w14:textId="5945E9C2" w:rsidR="00131491" w:rsidRPr="000E3502" w:rsidRDefault="00131491" w:rsidP="00131491">
      <w:pPr>
        <w:pStyle w:val="SOPLevel2"/>
        <w:numPr>
          <w:ilvl w:val="1"/>
          <w:numId w:val="3"/>
        </w:numPr>
      </w:pPr>
      <w:r>
        <w:t>All decisions that information represents &lt;</w:t>
      </w:r>
      <w:r>
        <w:rPr>
          <w:rStyle w:val="SOPDefault"/>
        </w:rPr>
        <w:t xml:space="preserve">Serious Noncompliance&gt;, &lt;Continuing Noncompliance&gt;, an &lt;Unanticipated Problem Involving Risks to Subjects or Others&gt;, a &lt;Suspension of IRB Approval&gt;, or a &lt;Termination of IRB Approval&gt; </w:t>
      </w:r>
      <w:r w:rsidR="00197E75">
        <w:rPr>
          <w:rStyle w:val="SOPDefault"/>
        </w:rPr>
        <w:t>may</w:t>
      </w:r>
      <w:r>
        <w:rPr>
          <w:rStyle w:val="SOPDefault"/>
        </w:rPr>
        <w:t xml:space="preserve"> be confirmed by the [</w:t>
      </w:r>
      <w:r w:rsidR="00B54D55">
        <w:rPr>
          <w:rStyle w:val="SOPDefault"/>
        </w:rPr>
        <w:t>Chief Research Compliance Officer</w:t>
      </w:r>
      <w:r>
        <w:rPr>
          <w:rStyle w:val="SOPDefault"/>
        </w:rPr>
        <w:t>]</w:t>
      </w:r>
      <w:r w:rsidR="00197E75">
        <w:rPr>
          <w:rStyle w:val="SOPDefault"/>
        </w:rPr>
        <w:t xml:space="preserve"> as the [</w:t>
      </w:r>
      <w:r w:rsidR="00B54D55">
        <w:rPr>
          <w:rStyle w:val="SOPDefault"/>
        </w:rPr>
        <w:t>Chief Research Compliance Officer</w:t>
      </w:r>
      <w:r w:rsidR="00197E75">
        <w:rPr>
          <w:rStyle w:val="SOPDefault"/>
        </w:rPr>
        <w:t>] deems appropriate</w:t>
      </w:r>
      <w:r>
        <w:rPr>
          <w:rStyle w:val="SOPDefault"/>
        </w:rPr>
        <w:t>.</w:t>
      </w:r>
    </w:p>
    <w:p w14:paraId="6B8DCE2D" w14:textId="77777777" w:rsidR="002C46C4" w:rsidRDefault="002C46C4" w:rsidP="002C46C4">
      <w:pPr>
        <w:pStyle w:val="SOPLevel1"/>
        <w:numPr>
          <w:ilvl w:val="0"/>
          <w:numId w:val="3"/>
        </w:numPr>
      </w:pPr>
      <w:r>
        <w:t>RESPONSIBILITY</w:t>
      </w:r>
    </w:p>
    <w:p w14:paraId="3A2B8C75" w14:textId="77777777" w:rsidR="002C46C4" w:rsidRDefault="002C46C4" w:rsidP="002C46C4">
      <w:pPr>
        <w:pStyle w:val="SOPLevel2"/>
        <w:numPr>
          <w:ilvl w:val="1"/>
          <w:numId w:val="2"/>
        </w:numPr>
      </w:pPr>
      <w:r>
        <w:t>All individuals who can make decisions about new information</w:t>
      </w:r>
      <w:r w:rsidRPr="004C046E">
        <w:t xml:space="preserve"> carry out these procedures</w:t>
      </w:r>
      <w:r>
        <w:t xml:space="preserve"> or ensure they are carried out by other personnel</w:t>
      </w:r>
      <w:r w:rsidRPr="004C046E">
        <w:t>.</w:t>
      </w:r>
    </w:p>
    <w:p w14:paraId="33B844F0" w14:textId="77777777" w:rsidR="002C46C4" w:rsidRPr="00202957" w:rsidRDefault="002C46C4" w:rsidP="002C46C4">
      <w:pPr>
        <w:pStyle w:val="SOPLevel2"/>
        <w:numPr>
          <w:ilvl w:val="1"/>
          <w:numId w:val="2"/>
        </w:numPr>
      </w:pPr>
      <w:r w:rsidRPr="00202957">
        <w:t>Individuals unsure of a decision in this SOP are to bring new information to higher level official for a determination.</w:t>
      </w:r>
    </w:p>
    <w:p w14:paraId="1961B313" w14:textId="77777777" w:rsidR="00131491" w:rsidRDefault="00131491" w:rsidP="00131491">
      <w:pPr>
        <w:pStyle w:val="SOPLevel2"/>
        <w:numPr>
          <w:ilvl w:val="1"/>
          <w:numId w:val="2"/>
        </w:numPr>
      </w:pPr>
      <w:r>
        <w:t>An</w:t>
      </w:r>
      <w:r w:rsidRPr="007241E3">
        <w:t xml:space="preserve"> IRB chair </w:t>
      </w:r>
      <w:r>
        <w:t xml:space="preserve">or IRB vice-chair </w:t>
      </w:r>
      <w:r w:rsidRPr="007241E3">
        <w:t>follows this SOP before placing an item of new information on the IRB agenda.</w:t>
      </w:r>
    </w:p>
    <w:p w14:paraId="51D894F1" w14:textId="77777777" w:rsidR="00D76D8A" w:rsidRDefault="002C46C4" w:rsidP="002C46C4">
      <w:pPr>
        <w:pStyle w:val="SOPLevel1"/>
        <w:numPr>
          <w:ilvl w:val="0"/>
          <w:numId w:val="3"/>
        </w:numPr>
      </w:pPr>
      <w:r>
        <w:t>PROCEDURE</w:t>
      </w:r>
    </w:p>
    <w:p w14:paraId="1B60DE59" w14:textId="669734FC" w:rsidR="002C46C4" w:rsidRPr="004C046E" w:rsidRDefault="002C46C4" w:rsidP="002C46C4">
      <w:pPr>
        <w:pStyle w:val="SOPLevel2"/>
        <w:numPr>
          <w:ilvl w:val="1"/>
          <w:numId w:val="2"/>
        </w:numPr>
        <w:rPr>
          <w:rStyle w:val="SOPDefault"/>
        </w:rPr>
      </w:pPr>
      <w:r>
        <w:rPr>
          <w:rStyle w:val="SOPDefault"/>
        </w:rPr>
        <w:t>Ask the following six questions.</w:t>
      </w:r>
    </w:p>
    <w:p w14:paraId="6E3EC529" w14:textId="66C4AF22" w:rsidR="002C46C4" w:rsidRDefault="002C46C4" w:rsidP="002C46C4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Does the information represent an &lt;Allegation of Noncompliance&gt;?</w:t>
      </w:r>
      <w:r w:rsidR="00D76D8A">
        <w:rPr>
          <w:rStyle w:val="SOPDefault"/>
        </w:rPr>
        <w:t xml:space="preserve"> If yes:</w:t>
      </w:r>
    </w:p>
    <w:p w14:paraId="18905DD6" w14:textId="40C88521" w:rsidR="002C5422" w:rsidRDefault="00197E75" w:rsidP="00605A72">
      <w:pPr>
        <w:pStyle w:val="SOPLevel4"/>
        <w:rPr>
          <w:rStyle w:val="SOPDefault"/>
        </w:rPr>
      </w:pPr>
      <w:r>
        <w:rPr>
          <w:rStyle w:val="SOPDefault"/>
        </w:rPr>
        <w:t>Inform the [</w:t>
      </w:r>
      <w:r w:rsidR="00B54D55">
        <w:rPr>
          <w:rStyle w:val="SOPDefault"/>
        </w:rPr>
        <w:t>Chief Research Compliance Officer</w:t>
      </w:r>
      <w:r>
        <w:rPr>
          <w:rStyle w:val="SOPDefault"/>
        </w:rPr>
        <w:t xml:space="preserve">] of </w:t>
      </w:r>
      <w:r w:rsidR="00F15B2B">
        <w:rPr>
          <w:rStyle w:val="SOPDefault"/>
        </w:rPr>
        <w:t>the &lt;A</w:t>
      </w:r>
      <w:r w:rsidR="002C5422">
        <w:rPr>
          <w:rStyle w:val="SOPDefault"/>
        </w:rPr>
        <w:t>llegation of</w:t>
      </w:r>
      <w:r w:rsidR="00F15B2B">
        <w:rPr>
          <w:rStyle w:val="SOPDefault"/>
        </w:rPr>
        <w:t xml:space="preserve"> </w:t>
      </w:r>
      <w:r w:rsidR="002C5422">
        <w:rPr>
          <w:rStyle w:val="SOPDefault"/>
        </w:rPr>
        <w:t>Noncompliance&gt;.</w:t>
      </w:r>
    </w:p>
    <w:p w14:paraId="27CEC89B" w14:textId="77777777" w:rsidR="00D76D8A" w:rsidRDefault="00D76D8A">
      <w:pPr>
        <w:pStyle w:val="SOPLevel4"/>
        <w:rPr>
          <w:rStyle w:val="SOPDefault"/>
        </w:rPr>
      </w:pPr>
      <w:r>
        <w:rPr>
          <w:rStyle w:val="SOPDefault"/>
        </w:rPr>
        <w:t>Evaluate the &lt;Allegation of Noncompliance&gt; to determine whether there is a basis in fact.</w:t>
      </w:r>
    </w:p>
    <w:p w14:paraId="27AD4C51" w14:textId="77777777" w:rsidR="002C46C4" w:rsidRDefault="002C46C4">
      <w:pPr>
        <w:pStyle w:val="SOPLevel4"/>
        <w:rPr>
          <w:rStyle w:val="SOPDefault"/>
        </w:rPr>
      </w:pPr>
      <w:r>
        <w:rPr>
          <w:rStyle w:val="SOPDefault"/>
        </w:rPr>
        <w:t>If the final determination is that the &lt;Allegation of Noncompliance&gt; has basis in fact, then this represents &lt;Noncompliance&gt;.</w:t>
      </w:r>
    </w:p>
    <w:p w14:paraId="539F816D" w14:textId="77777777" w:rsidR="00D76D8A" w:rsidRDefault="00D76D8A" w:rsidP="00D76D8A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Does the information represent &lt;Noncompliance&gt;?</w:t>
      </w:r>
      <w:r w:rsidRPr="00767B47">
        <w:rPr>
          <w:rStyle w:val="SOPDefault"/>
        </w:rPr>
        <w:t xml:space="preserve"> </w:t>
      </w:r>
      <w:r>
        <w:rPr>
          <w:rStyle w:val="SOPDefault"/>
        </w:rPr>
        <w:t>If yes:</w:t>
      </w:r>
    </w:p>
    <w:p w14:paraId="6198E681" w14:textId="36F9879A" w:rsidR="00131491" w:rsidRDefault="00F15B2B" w:rsidP="00605A72">
      <w:pPr>
        <w:pStyle w:val="SOPLevel4"/>
        <w:rPr>
          <w:rStyle w:val="SOPDefault"/>
        </w:rPr>
      </w:pPr>
      <w:r>
        <w:rPr>
          <w:rStyle w:val="SOPDefault"/>
        </w:rPr>
        <w:t>Inform the [</w:t>
      </w:r>
      <w:r w:rsidR="00B54D55">
        <w:rPr>
          <w:rStyle w:val="SOPDefault"/>
        </w:rPr>
        <w:t>Chief Research Compliance Officer</w:t>
      </w:r>
      <w:r>
        <w:rPr>
          <w:rStyle w:val="SOPDefault"/>
        </w:rPr>
        <w:t>] of the</w:t>
      </w:r>
      <w:r w:rsidR="00131491">
        <w:rPr>
          <w:rStyle w:val="SOPDefault"/>
        </w:rPr>
        <w:t xml:space="preserve"> &lt;Noncompliance&gt;.</w:t>
      </w:r>
    </w:p>
    <w:p w14:paraId="737B72BC" w14:textId="77777777" w:rsidR="00D76D8A" w:rsidRDefault="00D76D8A">
      <w:pPr>
        <w:pStyle w:val="SOPLevel4"/>
        <w:rPr>
          <w:rStyle w:val="SOPDefault"/>
        </w:rPr>
      </w:pPr>
      <w:r>
        <w:rPr>
          <w:rStyle w:val="SOPDefault"/>
        </w:rPr>
        <w:t>Evaluate the &lt;Noncompliance&gt; to determine whether it is &lt;Serious Noncompliance&gt; or &lt;Continuing Noncompliance&gt;.</w:t>
      </w:r>
    </w:p>
    <w:p w14:paraId="0F9DF213" w14:textId="77777777" w:rsidR="002C46C4" w:rsidRDefault="002C46C4" w:rsidP="002C46C4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Does the information represent &lt;Serious Noncompliance&gt;?</w:t>
      </w:r>
    </w:p>
    <w:p w14:paraId="395C7721" w14:textId="77777777" w:rsidR="002C46C4" w:rsidRDefault="002C46C4" w:rsidP="002C46C4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Does the information represent &lt;Continuing Noncompliance&gt;?</w:t>
      </w:r>
    </w:p>
    <w:p w14:paraId="2B52F79E" w14:textId="77777777" w:rsidR="002C46C4" w:rsidRDefault="002C46C4" w:rsidP="002C46C4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Does the information represent an &lt;Unanticipated Problem Involving Risks to Subjects or Others&gt;?</w:t>
      </w:r>
    </w:p>
    <w:p w14:paraId="28F23EF1" w14:textId="77777777" w:rsidR="002C46C4" w:rsidRDefault="002C46C4" w:rsidP="002C46C4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Does the information represent a &lt;Suspension of IRB Approval&gt; or a &lt;Termination of IRB Approval&gt;?</w:t>
      </w:r>
    </w:p>
    <w:p w14:paraId="6E71C729" w14:textId="77777777" w:rsidR="00AA0252" w:rsidRPr="001C6526" w:rsidRDefault="00AA0252" w:rsidP="00AA0252">
      <w:pPr>
        <w:pStyle w:val="SOPLevel2"/>
        <w:numPr>
          <w:ilvl w:val="1"/>
          <w:numId w:val="2"/>
        </w:numPr>
        <w:rPr>
          <w:rStyle w:val="SOPDefault"/>
        </w:rPr>
      </w:pPr>
      <w:r w:rsidRPr="001C6526">
        <w:rPr>
          <w:rStyle w:val="SOPDefault"/>
        </w:rPr>
        <w:t xml:space="preserve">If the answers to all six questions above are “no”: </w:t>
      </w:r>
    </w:p>
    <w:p w14:paraId="1DF26A2E" w14:textId="77777777" w:rsidR="00AA0252" w:rsidRPr="001C6526" w:rsidRDefault="00AA0252" w:rsidP="00AA0252">
      <w:pPr>
        <w:pStyle w:val="SOPLevel3"/>
        <w:numPr>
          <w:ilvl w:val="2"/>
          <w:numId w:val="2"/>
        </w:numPr>
        <w:rPr>
          <w:rStyle w:val="SOPDefault"/>
        </w:rPr>
      </w:pPr>
      <w:r w:rsidRPr="001C6526">
        <w:rPr>
          <w:rStyle w:val="SOPDefault"/>
        </w:rPr>
        <w:t>Respond as needed to any complaint, query, or input.</w:t>
      </w:r>
    </w:p>
    <w:p w14:paraId="77E02AF8" w14:textId="77777777" w:rsidR="00AA0252" w:rsidRPr="001C6526" w:rsidRDefault="00AA0252" w:rsidP="00AA0252">
      <w:pPr>
        <w:pStyle w:val="SOPLevel3"/>
        <w:numPr>
          <w:ilvl w:val="2"/>
          <w:numId w:val="2"/>
        </w:numPr>
        <w:rPr>
          <w:rStyle w:val="SOPDefault"/>
        </w:rPr>
      </w:pPr>
      <w:r w:rsidRPr="001C6526">
        <w:rPr>
          <w:rStyle w:val="SOPDefault"/>
        </w:rPr>
        <w:t>Follow any other applicable SOPs.</w:t>
      </w:r>
    </w:p>
    <w:p w14:paraId="6DDD5823" w14:textId="77777777" w:rsidR="00AA0252" w:rsidRPr="001C6526" w:rsidRDefault="00AA0252" w:rsidP="00AA0252">
      <w:pPr>
        <w:pStyle w:val="SOPLevel3"/>
        <w:numPr>
          <w:ilvl w:val="2"/>
          <w:numId w:val="2"/>
        </w:numPr>
        <w:rPr>
          <w:rStyle w:val="SOPDefault"/>
        </w:rPr>
      </w:pPr>
      <w:r w:rsidRPr="001C6526">
        <w:rPr>
          <w:rStyle w:val="SOPDefault"/>
        </w:rPr>
        <w:t>If an acknowledgement is expected, follow “SOP: Post Review (HRP-111)” to notify the submitter.</w:t>
      </w:r>
    </w:p>
    <w:p w14:paraId="5F8B3411" w14:textId="77777777" w:rsidR="00AA0252" w:rsidRDefault="00AA0252" w:rsidP="00AA0252">
      <w:pPr>
        <w:pStyle w:val="SOPLevel3"/>
        <w:numPr>
          <w:ilvl w:val="2"/>
          <w:numId w:val="2"/>
        </w:numPr>
        <w:rPr>
          <w:rStyle w:val="SOPDefault"/>
        </w:rPr>
      </w:pPr>
      <w:r w:rsidRPr="001C6526">
        <w:rPr>
          <w:rStyle w:val="SOPDefault"/>
        </w:rPr>
        <w:lastRenderedPageBreak/>
        <w:t>No further action is required under this SOP.</w:t>
      </w:r>
    </w:p>
    <w:p w14:paraId="31AE30B7" w14:textId="77777777" w:rsidR="002C5422" w:rsidRDefault="002C5422" w:rsidP="002C5422">
      <w:pPr>
        <w:pStyle w:val="SOPLevel2"/>
        <w:numPr>
          <w:ilvl w:val="1"/>
          <w:numId w:val="2"/>
        </w:numPr>
        <w:rPr>
          <w:rStyle w:val="SOPDefault"/>
        </w:rPr>
      </w:pPr>
      <w:r>
        <w:rPr>
          <w:rStyle w:val="SOPDefault"/>
        </w:rPr>
        <w:t>Consider whether any immediate actions might be necessary to protect the rights and welfare of current or future subjects while additional information is gathered.</w:t>
      </w:r>
    </w:p>
    <w:p w14:paraId="028F979A" w14:textId="68638409" w:rsidR="002C5422" w:rsidRDefault="002C5422" w:rsidP="002C5422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If so, take those actions,</w:t>
      </w:r>
      <w:r w:rsidRPr="00E75DB8">
        <w:rPr>
          <w:rStyle w:val="SOPDefault"/>
        </w:rPr>
        <w:t xml:space="preserve"> </w:t>
      </w:r>
      <w:r>
        <w:rPr>
          <w:rStyle w:val="SOPDefault"/>
        </w:rPr>
        <w:t>notify the institution, sponsor, CRO, or SMO, as applicable, and notify the [</w:t>
      </w:r>
      <w:r w:rsidR="00B54D55">
        <w:rPr>
          <w:rStyle w:val="SOPDefault"/>
        </w:rPr>
        <w:t>Chief Research Compliance Officer</w:t>
      </w:r>
      <w:r>
        <w:rPr>
          <w:rStyle w:val="SOPDefault"/>
        </w:rPr>
        <w:t>].</w:t>
      </w:r>
    </w:p>
    <w:p w14:paraId="59B7AE7C" w14:textId="77777777" w:rsidR="002C5422" w:rsidRDefault="002C5422" w:rsidP="002C5422">
      <w:pPr>
        <w:pStyle w:val="SOPLevel2"/>
        <w:numPr>
          <w:ilvl w:val="1"/>
          <w:numId w:val="2"/>
        </w:numPr>
        <w:rPr>
          <w:rStyle w:val="SOPDefault"/>
        </w:rPr>
      </w:pPr>
      <w:r>
        <w:rPr>
          <w:rStyle w:val="SOPDefault"/>
        </w:rPr>
        <w:t>Consider whether immediate notification of the institution, sponsor, CRO, or SMO might be appropriate.</w:t>
      </w:r>
    </w:p>
    <w:p w14:paraId="76ADA616" w14:textId="761466D3" w:rsidR="002C5422" w:rsidRDefault="002C5422" w:rsidP="002C5422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If so, notify the institution, sponsor, CRO, or SMO, as applicable, and notify the [</w:t>
      </w:r>
      <w:r w:rsidR="00B54D55">
        <w:rPr>
          <w:rStyle w:val="SOPDefault"/>
        </w:rPr>
        <w:t>Chief Research Compliance Officer</w:t>
      </w:r>
      <w:r>
        <w:rPr>
          <w:rStyle w:val="SOPDefault"/>
        </w:rPr>
        <w:t>].</w:t>
      </w:r>
    </w:p>
    <w:p w14:paraId="7EC97F11" w14:textId="77777777" w:rsidR="002C5422" w:rsidRDefault="002C5422" w:rsidP="002C5422">
      <w:pPr>
        <w:pStyle w:val="SOPLevel2"/>
        <w:numPr>
          <w:ilvl w:val="1"/>
          <w:numId w:val="2"/>
        </w:numPr>
        <w:rPr>
          <w:rStyle w:val="SOPDefault"/>
        </w:rPr>
      </w:pPr>
      <w:r>
        <w:rPr>
          <w:rStyle w:val="SOPDefault"/>
        </w:rPr>
        <w:t>If more information is needed, contact the submitter to gather new information.</w:t>
      </w:r>
    </w:p>
    <w:p w14:paraId="0140C936" w14:textId="77777777" w:rsidR="002C46C4" w:rsidRDefault="002C46C4" w:rsidP="002C46C4">
      <w:pPr>
        <w:pStyle w:val="SOPLevel2"/>
        <w:numPr>
          <w:ilvl w:val="1"/>
          <w:numId w:val="2"/>
        </w:numPr>
        <w:rPr>
          <w:rStyle w:val="SOPDefault"/>
        </w:rPr>
      </w:pPr>
      <w:r>
        <w:rPr>
          <w:rStyle w:val="SOPDefault"/>
        </w:rPr>
        <w:t>If the information represents &lt;Noncompliance&gt; that is neither &lt;Serious Noncompliance&gt;, nor &lt;Continuing Noncompliance&gt;, evaluate any submitted corrective action.</w:t>
      </w:r>
    </w:p>
    <w:p w14:paraId="760058D4" w14:textId="77777777" w:rsidR="00D76D8A" w:rsidRDefault="002C46C4" w:rsidP="002C46C4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If the corrective action plan is insufficient, contact the research team to develop a sufficient correction action plan.</w:t>
      </w:r>
    </w:p>
    <w:p w14:paraId="50FFC380" w14:textId="48DD12F9" w:rsidR="002C46C4" w:rsidRDefault="002C46C4">
      <w:pPr>
        <w:pStyle w:val="SOPLevel4"/>
        <w:rPr>
          <w:rStyle w:val="SOPDefault"/>
        </w:rPr>
      </w:pPr>
      <w:r>
        <w:rPr>
          <w:rStyle w:val="SOPDefault"/>
        </w:rPr>
        <w:t>If the research team is unable to develop a sufficient corrective action, consider the &lt;Noncompliance&gt; to be &lt;Continuing Noncompliance</w:t>
      </w:r>
      <w:r w:rsidR="000B4560">
        <w:rPr>
          <w:rStyle w:val="SOPDefault"/>
        </w:rPr>
        <w:t>&gt;</w:t>
      </w:r>
      <w:r>
        <w:rPr>
          <w:rStyle w:val="SOPDefault"/>
        </w:rPr>
        <w:t>.</w:t>
      </w:r>
    </w:p>
    <w:p w14:paraId="7EFBE9DD" w14:textId="77777777" w:rsidR="002C46C4" w:rsidRDefault="002C46C4" w:rsidP="002C46C4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If the research team develops a sufficient corrective action, follow “SOP: Post Review (HRP-111)” to notify the submitter.</w:t>
      </w:r>
    </w:p>
    <w:p w14:paraId="2147BC26" w14:textId="77777777" w:rsidR="002C46C4" w:rsidRDefault="002C46C4" w:rsidP="002C46C4">
      <w:pPr>
        <w:pStyle w:val="SOPLevel2"/>
        <w:numPr>
          <w:ilvl w:val="1"/>
          <w:numId w:val="2"/>
        </w:numPr>
        <w:rPr>
          <w:rStyle w:val="SOPDefault"/>
        </w:rPr>
      </w:pPr>
      <w:r>
        <w:rPr>
          <w:rStyle w:val="SOPDefault"/>
        </w:rPr>
        <w:t>If the information represents &lt;Serious Noncompliance&gt;, &lt;Continuing Noncompliance&gt;, an &lt;Unanticipated Problem Involving Risks to Subjects or Others&gt;, a &lt;Suspension of IRB Approval&gt;, or a &lt;Termination of IRB Approval&gt;:</w:t>
      </w:r>
    </w:p>
    <w:p w14:paraId="2E058CAD" w14:textId="754C4BCA" w:rsidR="002C5422" w:rsidRDefault="002C5422" w:rsidP="002C5422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Notify the [</w:t>
      </w:r>
      <w:r w:rsidR="00B54D55">
        <w:rPr>
          <w:rStyle w:val="SOPDefault"/>
        </w:rPr>
        <w:t>Chief Research Compliance Officer</w:t>
      </w:r>
      <w:r>
        <w:rPr>
          <w:rStyle w:val="SOPDefault"/>
        </w:rPr>
        <w:t>].</w:t>
      </w:r>
    </w:p>
    <w:p w14:paraId="06D1A99C" w14:textId="77777777" w:rsidR="002C46C4" w:rsidRDefault="002C46C4" w:rsidP="002C46C4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Bring the information to the attention of an IRB chair or IRB vice-chair for consideration of whether any immediate actions are necessary to protect the rights and welfare of subjects in advance of the meeting.</w:t>
      </w:r>
    </w:p>
    <w:p w14:paraId="2BAF034E" w14:textId="146C2E34" w:rsidR="00D76D8A" w:rsidRDefault="002C46C4" w:rsidP="002C46C4">
      <w:pPr>
        <w:pStyle w:val="SOPLevel3"/>
        <w:numPr>
          <w:ilvl w:val="2"/>
          <w:numId w:val="2"/>
        </w:numPr>
        <w:rPr>
          <w:rStyle w:val="SOPDefault"/>
        </w:rPr>
      </w:pPr>
      <w:r>
        <w:rPr>
          <w:rStyle w:val="SOPDefault"/>
        </w:rPr>
        <w:t>Send for &lt;Committee Review&gt;.</w:t>
      </w:r>
    </w:p>
    <w:p w14:paraId="15353199" w14:textId="1171FC6A" w:rsidR="00785F87" w:rsidRDefault="00785F87" w:rsidP="00A5116D">
      <w:pPr>
        <w:pStyle w:val="SOPLevel2"/>
        <w:rPr>
          <w:rStyle w:val="SOPDefault"/>
        </w:rPr>
      </w:pPr>
      <w:r>
        <w:rPr>
          <w:rStyle w:val="SOPDefault"/>
        </w:rPr>
        <w:t xml:space="preserve">If the information represents research misconduct, as defined in </w:t>
      </w:r>
      <w:r w:rsidRPr="00785F87">
        <w:rPr>
          <w:rStyle w:val="SOPDefault"/>
        </w:rPr>
        <w:t>Policy on Misconduct in Research and Creative Work (Policy Number 02.54.01)</w:t>
      </w:r>
      <w:r>
        <w:rPr>
          <w:rStyle w:val="SOPDefault"/>
        </w:rPr>
        <w:t>, the [Chief Research Compliance Officer] will liaise with appropriate entities within the Office for the Vice President for Research in accordance with the policy.</w:t>
      </w:r>
    </w:p>
    <w:p w14:paraId="0B6C10CB" w14:textId="065CA83E" w:rsidR="002C46C4" w:rsidRDefault="00D76D8A" w:rsidP="002C46C4">
      <w:pPr>
        <w:pStyle w:val="SOPLevel1"/>
        <w:numPr>
          <w:ilvl w:val="0"/>
          <w:numId w:val="3"/>
        </w:numPr>
      </w:pPr>
      <w:r>
        <w:t xml:space="preserve"> </w:t>
      </w:r>
      <w:r w:rsidR="002C46C4">
        <w:t>REFERENCES</w:t>
      </w:r>
    </w:p>
    <w:p w14:paraId="4BCCF644" w14:textId="28FC6670" w:rsidR="002C46C4" w:rsidRDefault="002C46C4" w:rsidP="002C46C4">
      <w:pPr>
        <w:pStyle w:val="SOPLevel2"/>
        <w:numPr>
          <w:ilvl w:val="1"/>
          <w:numId w:val="2"/>
        </w:numPr>
        <w:rPr>
          <w:rStyle w:val="SOPDefault"/>
        </w:rPr>
      </w:pPr>
      <w:r>
        <w:t xml:space="preserve">45 CFR </w:t>
      </w:r>
      <w:r w:rsidRPr="00CA256C">
        <w:t>§46.103</w:t>
      </w:r>
    </w:p>
    <w:p w14:paraId="18E1E910" w14:textId="56CEC279" w:rsidR="006D21A8" w:rsidRPr="002C46C4" w:rsidRDefault="002C46C4" w:rsidP="002C46C4">
      <w:pPr>
        <w:pStyle w:val="SOPLevel2"/>
        <w:numPr>
          <w:ilvl w:val="1"/>
          <w:numId w:val="2"/>
        </w:numPr>
      </w:pPr>
      <w:r>
        <w:t xml:space="preserve">21 CFR </w:t>
      </w:r>
      <w:r w:rsidRPr="00CA256C">
        <w:t>§</w:t>
      </w:r>
      <w:r>
        <w:t>56.108</w:t>
      </w:r>
    </w:p>
    <w:sectPr w:rsidR="006D21A8" w:rsidRPr="002C46C4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8A12" w14:textId="77777777" w:rsidR="00484F2D" w:rsidRDefault="00484F2D" w:rsidP="0093159B">
      <w:pPr>
        <w:spacing w:after="0" w:line="240" w:lineRule="auto"/>
      </w:pPr>
      <w:r>
        <w:separator/>
      </w:r>
    </w:p>
  </w:endnote>
  <w:endnote w:type="continuationSeparator" w:id="0">
    <w:p w14:paraId="0DBCE2C3" w14:textId="77777777" w:rsidR="00484F2D" w:rsidRDefault="00484F2D" w:rsidP="0093159B">
      <w:pPr>
        <w:spacing w:after="0" w:line="240" w:lineRule="auto"/>
      </w:pPr>
      <w:r>
        <w:continuationSeparator/>
      </w:r>
    </w:p>
  </w:endnote>
  <w:endnote w:type="continuationNotice" w:id="1">
    <w:p w14:paraId="0B6F2F84" w14:textId="77777777" w:rsidR="00484F2D" w:rsidRDefault="00484F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4779" w14:textId="77777777" w:rsidR="00EE6762" w:rsidRDefault="00EE6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E92B" w14:textId="03F8BB4D" w:rsidR="00F15B2B" w:rsidRPr="00F5600B" w:rsidRDefault="00F15B2B" w:rsidP="00F5600B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Attribution-NonCommercial-ShareAlike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A400" w14:textId="77777777" w:rsidR="00EE6762" w:rsidRDefault="00EE6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04CB" w14:textId="77777777" w:rsidR="00484F2D" w:rsidRDefault="00484F2D" w:rsidP="0093159B">
      <w:pPr>
        <w:spacing w:after="0" w:line="240" w:lineRule="auto"/>
      </w:pPr>
      <w:r>
        <w:separator/>
      </w:r>
    </w:p>
  </w:footnote>
  <w:footnote w:type="continuationSeparator" w:id="0">
    <w:p w14:paraId="3153ACAD" w14:textId="77777777" w:rsidR="00484F2D" w:rsidRDefault="00484F2D" w:rsidP="0093159B">
      <w:pPr>
        <w:spacing w:after="0" w:line="240" w:lineRule="auto"/>
      </w:pPr>
      <w:r>
        <w:continuationSeparator/>
      </w:r>
    </w:p>
  </w:footnote>
  <w:footnote w:type="continuationNotice" w:id="1">
    <w:p w14:paraId="0BB7297D" w14:textId="77777777" w:rsidR="00484F2D" w:rsidRDefault="00484F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A26" w14:textId="77777777" w:rsidR="00EE6762" w:rsidRDefault="00EE6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484"/>
      <w:gridCol w:w="1523"/>
      <w:gridCol w:w="1523"/>
      <w:gridCol w:w="1523"/>
      <w:gridCol w:w="1523"/>
    </w:tblGrid>
    <w:tr w:rsidR="00F15B2B" w:rsidRPr="0071612A" w14:paraId="18E1E918" w14:textId="77777777" w:rsidTr="004E314A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18E1E916" w14:textId="2BC3A5AE" w:rsidR="00F15B2B" w:rsidRPr="0071612A" w:rsidRDefault="007E6DF5" w:rsidP="007E6DF5">
          <w:pPr>
            <w:tabs>
              <w:tab w:val="right" w:pos="2178"/>
            </w:tabs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0BB7DA02" wp14:editId="21B31B83">
                <wp:extent cx="1789639" cy="565150"/>
                <wp:effectExtent l="0" t="0" r="127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090" cy="581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E1E917" w14:textId="77777777" w:rsidR="00F15B2B" w:rsidRPr="0071612A" w:rsidRDefault="00F15B2B" w:rsidP="00197E75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B54D55">
            <w:rPr>
              <w:rFonts w:ascii="Arial" w:hAnsi="Arial" w:cs="Arial"/>
              <w:b/>
              <w:bCs/>
              <w:sz w:val="28"/>
              <w:szCs w:val="28"/>
            </w:rPr>
            <w:t>SOP: New Information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F15B2B" w:rsidRPr="0071612A" w14:paraId="18E1E91E" w14:textId="77777777" w:rsidTr="004E314A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18E1E919" w14:textId="77777777" w:rsidR="00F15B2B" w:rsidRPr="0071612A" w:rsidRDefault="00F15B2B" w:rsidP="00197E75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8E1E91A" w14:textId="77777777" w:rsidR="00F15B2B" w:rsidRPr="0071612A" w:rsidRDefault="00F15B2B" w:rsidP="00197E75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8E1E91B" w14:textId="77777777" w:rsidR="00F15B2B" w:rsidRPr="0071612A" w:rsidRDefault="00F15B2B" w:rsidP="00197E75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8E1E91C" w14:textId="77777777" w:rsidR="00F15B2B" w:rsidRPr="0071612A" w:rsidRDefault="00F15B2B" w:rsidP="00197E75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8E1E91D" w14:textId="77777777" w:rsidR="00F15B2B" w:rsidRPr="0071612A" w:rsidRDefault="00F15B2B" w:rsidP="00197E75">
          <w:pPr>
            <w:pStyle w:val="SOPTableHeader"/>
          </w:pPr>
          <w:r w:rsidRPr="0071612A">
            <w:t>Page:</w:t>
          </w:r>
        </w:p>
      </w:tc>
    </w:tr>
    <w:tr w:rsidR="00F15B2B" w:rsidRPr="0071612A" w14:paraId="18E1E924" w14:textId="77777777" w:rsidTr="003E5FED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18E1E91F" w14:textId="77777777" w:rsidR="00F15B2B" w:rsidRPr="0071612A" w:rsidRDefault="00F15B2B" w:rsidP="00197E75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E1E920" w14:textId="77777777" w:rsidR="00F15B2B" w:rsidRPr="0071612A" w:rsidRDefault="00E7203C" w:rsidP="00197E75">
          <w:pPr>
            <w:pStyle w:val="SOPTableItemBold"/>
          </w:pPr>
          <w:fldSimple w:instr=" SUBJECT   \* MERGEFORMAT ">
            <w:r w:rsidR="00B54D55">
              <w:t>HRP-112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E1E921" w14:textId="5D3707C4" w:rsidR="00F15B2B" w:rsidRPr="0071612A" w:rsidRDefault="00F15B2B" w:rsidP="00B54D55">
          <w:pPr>
            <w:pStyle w:val="SOPTableItemBold"/>
          </w:pPr>
          <w:r w:rsidRPr="0071612A">
            <w:t>00</w:t>
          </w:r>
          <w:r w:rsidR="00EE6762">
            <w:t>3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18E1E922" w14:textId="125B2F1C" w:rsidR="00F15B2B" w:rsidRPr="0071612A" w:rsidRDefault="00B54D55" w:rsidP="00572E7D">
          <w:pPr>
            <w:pStyle w:val="SOPTableItemBold"/>
          </w:pPr>
          <w:r>
            <w:t>01 MAY 2020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E1E923" w14:textId="203BBD03" w:rsidR="00F15B2B" w:rsidRPr="0071612A" w:rsidRDefault="00F15B2B" w:rsidP="00197E75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B54D55">
            <w:t>1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B54D55">
              <w:t>2</w:t>
            </w:r>
          </w:fldSimple>
        </w:p>
      </w:tc>
    </w:tr>
  </w:tbl>
  <w:p w14:paraId="18E1E925" w14:textId="77777777" w:rsidR="00F15B2B" w:rsidRPr="0071612A" w:rsidRDefault="00F15B2B" w:rsidP="003B437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18E1E926" w14:textId="77777777" w:rsidR="00F15B2B" w:rsidRPr="0071612A" w:rsidRDefault="00F15B2B" w:rsidP="003B437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18E1E927" w14:textId="77777777" w:rsidR="00F15B2B" w:rsidRPr="0071612A" w:rsidRDefault="00F15B2B" w:rsidP="003B437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18E1E928" w14:textId="77777777" w:rsidR="00F15B2B" w:rsidRPr="0071612A" w:rsidRDefault="00F15B2B" w:rsidP="003B437A">
    <w:pPr>
      <w:pStyle w:val="Header"/>
      <w:rPr>
        <w:sz w:val="2"/>
      </w:rPr>
    </w:pPr>
  </w:p>
  <w:p w14:paraId="18E1E929" w14:textId="77777777" w:rsidR="00F15B2B" w:rsidRPr="003B437A" w:rsidRDefault="00F15B2B" w:rsidP="003B437A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8EFE" w14:textId="77777777" w:rsidR="00EE6762" w:rsidRDefault="00EE6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3E6"/>
    <w:multiLevelType w:val="multilevel"/>
    <w:tmpl w:val="0C8004F4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D19ECA2-5423-41D9-A32C-9188D8DEB8C3}"/>
    <w:docVar w:name="dgnword-eventsink" w:val="448889392"/>
  </w:docVars>
  <w:rsids>
    <w:rsidRoot w:val="00E95BBF"/>
    <w:rsid w:val="00012FB6"/>
    <w:rsid w:val="00016E75"/>
    <w:rsid w:val="000404B6"/>
    <w:rsid w:val="00057B72"/>
    <w:rsid w:val="00064708"/>
    <w:rsid w:val="000666DB"/>
    <w:rsid w:val="00077AB0"/>
    <w:rsid w:val="000815FF"/>
    <w:rsid w:val="00082C92"/>
    <w:rsid w:val="0009071E"/>
    <w:rsid w:val="00093F34"/>
    <w:rsid w:val="000B0425"/>
    <w:rsid w:val="000B4560"/>
    <w:rsid w:val="000B5CE5"/>
    <w:rsid w:val="000C2A40"/>
    <w:rsid w:val="000D5B18"/>
    <w:rsid w:val="000E1AC8"/>
    <w:rsid w:val="000E3502"/>
    <w:rsid w:val="000F5F1C"/>
    <w:rsid w:val="00131491"/>
    <w:rsid w:val="0013294A"/>
    <w:rsid w:val="0014137F"/>
    <w:rsid w:val="00156C85"/>
    <w:rsid w:val="00161968"/>
    <w:rsid w:val="001646CE"/>
    <w:rsid w:val="00172912"/>
    <w:rsid w:val="00173CFA"/>
    <w:rsid w:val="00197E75"/>
    <w:rsid w:val="001A5A2A"/>
    <w:rsid w:val="001B2264"/>
    <w:rsid w:val="001C3FF9"/>
    <w:rsid w:val="001C443A"/>
    <w:rsid w:val="001F1A71"/>
    <w:rsid w:val="001F3F8E"/>
    <w:rsid w:val="00200B21"/>
    <w:rsid w:val="00202957"/>
    <w:rsid w:val="0020344B"/>
    <w:rsid w:val="00223FDC"/>
    <w:rsid w:val="00251961"/>
    <w:rsid w:val="0027369B"/>
    <w:rsid w:val="00282D03"/>
    <w:rsid w:val="002954AD"/>
    <w:rsid w:val="002C46C4"/>
    <w:rsid w:val="002C4737"/>
    <w:rsid w:val="002C5422"/>
    <w:rsid w:val="002C6CC5"/>
    <w:rsid w:val="002D06A0"/>
    <w:rsid w:val="002D4539"/>
    <w:rsid w:val="002E318D"/>
    <w:rsid w:val="003105FA"/>
    <w:rsid w:val="00332ADF"/>
    <w:rsid w:val="00335E4F"/>
    <w:rsid w:val="00353415"/>
    <w:rsid w:val="00354910"/>
    <w:rsid w:val="00375A4E"/>
    <w:rsid w:val="00380CC2"/>
    <w:rsid w:val="00386D12"/>
    <w:rsid w:val="003A7F1F"/>
    <w:rsid w:val="003B437A"/>
    <w:rsid w:val="003D226A"/>
    <w:rsid w:val="003D4CCD"/>
    <w:rsid w:val="003E5FED"/>
    <w:rsid w:val="003F04B6"/>
    <w:rsid w:val="00402480"/>
    <w:rsid w:val="00421C32"/>
    <w:rsid w:val="0042204E"/>
    <w:rsid w:val="00462867"/>
    <w:rsid w:val="004647DA"/>
    <w:rsid w:val="004677BA"/>
    <w:rsid w:val="00484F2D"/>
    <w:rsid w:val="004A6C8B"/>
    <w:rsid w:val="004C046E"/>
    <w:rsid w:val="004C161F"/>
    <w:rsid w:val="004C216E"/>
    <w:rsid w:val="004E314A"/>
    <w:rsid w:val="004F7D0C"/>
    <w:rsid w:val="005002AD"/>
    <w:rsid w:val="00506024"/>
    <w:rsid w:val="00515993"/>
    <w:rsid w:val="00520D7B"/>
    <w:rsid w:val="00563DAB"/>
    <w:rsid w:val="00572E7D"/>
    <w:rsid w:val="005B6E88"/>
    <w:rsid w:val="005C2BA6"/>
    <w:rsid w:val="005C6281"/>
    <w:rsid w:val="005D6164"/>
    <w:rsid w:val="00605A72"/>
    <w:rsid w:val="006255F6"/>
    <w:rsid w:val="00661C12"/>
    <w:rsid w:val="006656DC"/>
    <w:rsid w:val="00667E43"/>
    <w:rsid w:val="00686F3C"/>
    <w:rsid w:val="00696958"/>
    <w:rsid w:val="006A116B"/>
    <w:rsid w:val="006A1FBB"/>
    <w:rsid w:val="006B16A0"/>
    <w:rsid w:val="006C7C45"/>
    <w:rsid w:val="006D21A8"/>
    <w:rsid w:val="006D2E9A"/>
    <w:rsid w:val="006D48D5"/>
    <w:rsid w:val="00702A9D"/>
    <w:rsid w:val="00710E98"/>
    <w:rsid w:val="00726394"/>
    <w:rsid w:val="007471DF"/>
    <w:rsid w:val="00757358"/>
    <w:rsid w:val="007710BB"/>
    <w:rsid w:val="00774C40"/>
    <w:rsid w:val="00785F87"/>
    <w:rsid w:val="007B03FF"/>
    <w:rsid w:val="007D062D"/>
    <w:rsid w:val="007E6DF5"/>
    <w:rsid w:val="008011C6"/>
    <w:rsid w:val="00805328"/>
    <w:rsid w:val="008053FB"/>
    <w:rsid w:val="0081179C"/>
    <w:rsid w:val="0082250D"/>
    <w:rsid w:val="00827636"/>
    <w:rsid w:val="0083491C"/>
    <w:rsid w:val="0086099E"/>
    <w:rsid w:val="00867BF2"/>
    <w:rsid w:val="00873599"/>
    <w:rsid w:val="008836D6"/>
    <w:rsid w:val="00896614"/>
    <w:rsid w:val="008C0526"/>
    <w:rsid w:val="008D250E"/>
    <w:rsid w:val="008D2530"/>
    <w:rsid w:val="00907067"/>
    <w:rsid w:val="00916E86"/>
    <w:rsid w:val="00924FB4"/>
    <w:rsid w:val="0093159B"/>
    <w:rsid w:val="00935262"/>
    <w:rsid w:val="00947702"/>
    <w:rsid w:val="00956356"/>
    <w:rsid w:val="00973C28"/>
    <w:rsid w:val="00984D15"/>
    <w:rsid w:val="00994F6C"/>
    <w:rsid w:val="009A0A2E"/>
    <w:rsid w:val="009A307C"/>
    <w:rsid w:val="009C17B2"/>
    <w:rsid w:val="009C246E"/>
    <w:rsid w:val="009C2950"/>
    <w:rsid w:val="009D3DE8"/>
    <w:rsid w:val="009E57F3"/>
    <w:rsid w:val="009F3D59"/>
    <w:rsid w:val="009F427B"/>
    <w:rsid w:val="009F7CEF"/>
    <w:rsid w:val="00A02EDD"/>
    <w:rsid w:val="00A05A3E"/>
    <w:rsid w:val="00A06311"/>
    <w:rsid w:val="00A06A4C"/>
    <w:rsid w:val="00A06EB8"/>
    <w:rsid w:val="00A42ACC"/>
    <w:rsid w:val="00A4499E"/>
    <w:rsid w:val="00A4717B"/>
    <w:rsid w:val="00A5116D"/>
    <w:rsid w:val="00A521D7"/>
    <w:rsid w:val="00A524C7"/>
    <w:rsid w:val="00A52829"/>
    <w:rsid w:val="00A538F0"/>
    <w:rsid w:val="00A7790B"/>
    <w:rsid w:val="00A82350"/>
    <w:rsid w:val="00A8326D"/>
    <w:rsid w:val="00A91814"/>
    <w:rsid w:val="00AA0252"/>
    <w:rsid w:val="00AC5CDA"/>
    <w:rsid w:val="00AC6DFD"/>
    <w:rsid w:val="00AD66B1"/>
    <w:rsid w:val="00AE1401"/>
    <w:rsid w:val="00AE793A"/>
    <w:rsid w:val="00AF24CF"/>
    <w:rsid w:val="00B03C85"/>
    <w:rsid w:val="00B23176"/>
    <w:rsid w:val="00B34394"/>
    <w:rsid w:val="00B34D34"/>
    <w:rsid w:val="00B54D55"/>
    <w:rsid w:val="00B82628"/>
    <w:rsid w:val="00B96736"/>
    <w:rsid w:val="00B97346"/>
    <w:rsid w:val="00BD554F"/>
    <w:rsid w:val="00BD62CE"/>
    <w:rsid w:val="00BE3293"/>
    <w:rsid w:val="00BF3B1F"/>
    <w:rsid w:val="00BF7355"/>
    <w:rsid w:val="00BF764C"/>
    <w:rsid w:val="00C164FC"/>
    <w:rsid w:val="00C33B73"/>
    <w:rsid w:val="00C36FC5"/>
    <w:rsid w:val="00C76D68"/>
    <w:rsid w:val="00C963A6"/>
    <w:rsid w:val="00CA256C"/>
    <w:rsid w:val="00CB7837"/>
    <w:rsid w:val="00CD54BA"/>
    <w:rsid w:val="00CE702A"/>
    <w:rsid w:val="00D02239"/>
    <w:rsid w:val="00D16838"/>
    <w:rsid w:val="00D25A90"/>
    <w:rsid w:val="00D37174"/>
    <w:rsid w:val="00D514F0"/>
    <w:rsid w:val="00D565CD"/>
    <w:rsid w:val="00D60D45"/>
    <w:rsid w:val="00D70FF2"/>
    <w:rsid w:val="00D76D8A"/>
    <w:rsid w:val="00D83094"/>
    <w:rsid w:val="00D93D28"/>
    <w:rsid w:val="00DA20BA"/>
    <w:rsid w:val="00DA7079"/>
    <w:rsid w:val="00DD2A9E"/>
    <w:rsid w:val="00DD4EE3"/>
    <w:rsid w:val="00DF2C9C"/>
    <w:rsid w:val="00E00D6A"/>
    <w:rsid w:val="00E32284"/>
    <w:rsid w:val="00E616A9"/>
    <w:rsid w:val="00E65F5F"/>
    <w:rsid w:val="00E7203C"/>
    <w:rsid w:val="00E85933"/>
    <w:rsid w:val="00E8719A"/>
    <w:rsid w:val="00E93A9B"/>
    <w:rsid w:val="00E95BBF"/>
    <w:rsid w:val="00EB2241"/>
    <w:rsid w:val="00EE6762"/>
    <w:rsid w:val="00F15B2B"/>
    <w:rsid w:val="00F21DD2"/>
    <w:rsid w:val="00F5600B"/>
    <w:rsid w:val="00F65A07"/>
    <w:rsid w:val="00F86BC4"/>
    <w:rsid w:val="00F876CA"/>
    <w:rsid w:val="00FC67FF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1E8F0"/>
  <w15:docId w15:val="{234C4285-F78A-4888-B60D-D6A08CA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1646CE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1646CE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1646CE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1646CE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1646CE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1646CE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646CE"/>
    <w:pPr>
      <w:ind w:left="720"/>
      <w:contextualSpacing/>
    </w:pPr>
  </w:style>
  <w:style w:type="paragraph" w:customStyle="1" w:styleId="SOPLevel1">
    <w:name w:val="SOP Level 1"/>
    <w:basedOn w:val="SOPBasis"/>
    <w:qFormat/>
    <w:rsid w:val="001646CE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1646CE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1646CE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572E7D"/>
    <w:pPr>
      <w:numPr>
        <w:ilvl w:val="3"/>
        <w:numId w:val="2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1646CE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1646CE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1646CE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1646CE"/>
  </w:style>
  <w:style w:type="character" w:customStyle="1" w:styleId="SOPDefinition">
    <w:name w:val="SOP Definition"/>
    <w:basedOn w:val="SOPDefault"/>
    <w:uiPriority w:val="1"/>
    <w:qFormat/>
    <w:rsid w:val="001646CE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322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1646CE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AC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7" ma:contentTypeDescription="Create a new document." ma:contentTypeScope="" ma:versionID="4d96cd00a37bd8a916eba953557fa591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6d4e66e3847cfe4bdea4541d2ef33c9b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55904-630D-4EBC-AABB-ED4D87AF1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96646-A553-4E0D-892A-7E75DFF123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284F30-1AF5-477A-A172-8E6C023E94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512557-15C2-43FF-AA0F-B3F92198F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New Information</vt:lpstr>
    </vt:vector>
  </TitlesOfParts>
  <Company>Copyright © 2013 WIRB-Copernicus Group. All rights reserved.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New Information</dc:title>
  <dc:subject>HRP-112</dc:subject>
  <dc:creator>Jeffrey A. Cooper, MD, MMM</dc:creator>
  <dc:description>01 MAY 2020</dc:description>
  <cp:lastModifiedBy>David M Comalli</cp:lastModifiedBy>
  <cp:revision>7</cp:revision>
  <dcterms:created xsi:type="dcterms:W3CDTF">2020-04-30T20:21:00Z</dcterms:created>
  <dcterms:modified xsi:type="dcterms:W3CDTF">2021-06-20T14:09:00Z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5800</vt:r8>
  </property>
  <property fmtid="{D5CDD505-2E9C-101B-9397-08002B2CF9AE}" pid="3" name="ContentTypeId">
    <vt:lpwstr>0x010100FA3106C0D91A1140A2CB07EBA4606A82</vt:lpwstr>
  </property>
</Properties>
</file>