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DC10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PURPOSE</w:t>
      </w:r>
    </w:p>
    <w:p w14:paraId="78C9DC11" w14:textId="77777777" w:rsidR="004C046E" w:rsidRPr="004C046E" w:rsidRDefault="00F876EC" w:rsidP="004C046E">
      <w:pPr>
        <w:pStyle w:val="SOPLevel2"/>
      </w:pPr>
      <w:r>
        <w:t>This</w:t>
      </w:r>
      <w:r w:rsidRPr="004C046E">
        <w:t xml:space="preserve"> procedure establish</w:t>
      </w:r>
      <w:r>
        <w:t>es</w:t>
      </w:r>
      <w:r w:rsidRPr="004C046E">
        <w:t xml:space="preserve"> </w:t>
      </w:r>
      <w:r>
        <w:t>the</w:t>
      </w:r>
      <w:r w:rsidRPr="004C046E">
        <w:t xml:space="preserve"> process to</w:t>
      </w:r>
      <w:r>
        <w:t xml:space="preserve"> </w:t>
      </w:r>
      <w:r w:rsidR="004C046E" w:rsidRPr="004C046E">
        <w:t>review IRB submission</w:t>
      </w:r>
      <w:r w:rsidR="000B03D7">
        <w:t>s</w:t>
      </w:r>
      <w:r w:rsidR="004C046E" w:rsidRPr="004C046E">
        <w:t xml:space="preserve"> for </w:t>
      </w:r>
      <w:r w:rsidR="000B03D7">
        <w:t>regulatory issues</w:t>
      </w:r>
      <w:r w:rsidR="004C046E" w:rsidRPr="004C046E">
        <w:t>.</w:t>
      </w:r>
    </w:p>
    <w:p w14:paraId="78C9DC12" w14:textId="5E6FF307" w:rsidR="004C046E" w:rsidRPr="004C046E" w:rsidRDefault="004C046E" w:rsidP="004C046E">
      <w:pPr>
        <w:pStyle w:val="SOPLevel2"/>
      </w:pPr>
      <w:r w:rsidRPr="004C046E">
        <w:t>This procedure begins when an IRB submission for a review or determination has been checked by office staff.</w:t>
      </w:r>
    </w:p>
    <w:p w14:paraId="78C9DC13" w14:textId="16A70C19" w:rsidR="00781E68" w:rsidRPr="004C046E" w:rsidRDefault="00781E68" w:rsidP="00781E68">
      <w:pPr>
        <w:pStyle w:val="SOPLevel2"/>
      </w:pPr>
      <w:r w:rsidRPr="004C046E">
        <w:t xml:space="preserve">This procedure ends when </w:t>
      </w:r>
      <w:r>
        <w:t xml:space="preserve">the </w:t>
      </w:r>
      <w:r w:rsidR="004E349B">
        <w:t>&lt;Regulatory Reviewer&gt;</w:t>
      </w:r>
      <w:r>
        <w:t xml:space="preserve"> has completed the review or </w:t>
      </w:r>
      <w:r w:rsidRPr="004C046E">
        <w:t xml:space="preserve">an </w:t>
      </w:r>
      <w:r w:rsidRPr="000E3502">
        <w:t>investigator</w:t>
      </w:r>
      <w:r w:rsidRPr="004C046E">
        <w:t xml:space="preserve"> has withdrawn </w:t>
      </w:r>
      <w:r>
        <w:t>the</w:t>
      </w:r>
      <w:r w:rsidRPr="004C046E">
        <w:t xml:space="preserve"> submission.</w:t>
      </w:r>
    </w:p>
    <w:p w14:paraId="78C9DC14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POLICY</w:t>
      </w:r>
    </w:p>
    <w:p w14:paraId="78C9DC15" w14:textId="53AD24E7" w:rsidR="006B282C" w:rsidRDefault="006B282C" w:rsidP="006B282C">
      <w:pPr>
        <w:pStyle w:val="SOPLevel2"/>
      </w:pPr>
      <w:r>
        <w:t xml:space="preserve">As part of IRB review, all submissions are reviewed by a </w:t>
      </w:r>
      <w:r w:rsidR="004E349B">
        <w:t>&lt;Regulatory Reviewer&gt;</w:t>
      </w:r>
      <w:r>
        <w:t xml:space="preserve"> to:</w:t>
      </w:r>
    </w:p>
    <w:p w14:paraId="78C9DC16" w14:textId="77777777" w:rsidR="00C207B4" w:rsidRDefault="00C207B4" w:rsidP="00C207B4">
      <w:pPr>
        <w:pStyle w:val="SOPLevel3"/>
      </w:pPr>
      <w:r>
        <w:t>Identify submissions with missing materials</w:t>
      </w:r>
    </w:p>
    <w:p w14:paraId="78C9DC17" w14:textId="5FB3F597" w:rsidR="000B03D7" w:rsidRDefault="000B03D7" w:rsidP="000B03D7">
      <w:pPr>
        <w:pStyle w:val="SOPLevel3"/>
      </w:pPr>
      <w:r>
        <w:t xml:space="preserve">Identify </w:t>
      </w:r>
      <w:r w:rsidR="00FE374D">
        <w:t xml:space="preserve">and document </w:t>
      </w:r>
      <w:r>
        <w:t xml:space="preserve">the determinations that need to </w:t>
      </w:r>
      <w:r w:rsidR="000752EC">
        <w:t xml:space="preserve">be </w:t>
      </w:r>
      <w:r>
        <w:t>ma</w:t>
      </w:r>
      <w:r w:rsidR="000752EC">
        <w:t>d</w:t>
      </w:r>
      <w:r>
        <w:t>e to approve research. (For example. waiver of consent, children, prisoners</w:t>
      </w:r>
      <w:r w:rsidR="000752EC">
        <w:t>, IND/IDE</w:t>
      </w:r>
      <w:r>
        <w:t>)</w:t>
      </w:r>
    </w:p>
    <w:p w14:paraId="78C9DC19" w14:textId="77777777" w:rsidR="008D229E" w:rsidRDefault="008D229E" w:rsidP="000B03D7">
      <w:pPr>
        <w:pStyle w:val="SOPLevel3"/>
      </w:pPr>
      <w:r>
        <w:t xml:space="preserve">Identify </w:t>
      </w:r>
      <w:r w:rsidR="00173AC2">
        <w:t xml:space="preserve">any </w:t>
      </w:r>
      <w:r w:rsidR="00842B43">
        <w:t>relevant</w:t>
      </w:r>
      <w:r w:rsidR="00173AC2">
        <w:t xml:space="preserve"> local</w:t>
      </w:r>
      <w:r w:rsidR="00842B43">
        <w:t>, state, or international requirements</w:t>
      </w:r>
    </w:p>
    <w:p w14:paraId="78C9DC1A" w14:textId="243A5036" w:rsidR="00BD34D0" w:rsidRDefault="008D229E" w:rsidP="000B03D7">
      <w:pPr>
        <w:pStyle w:val="SOPLevel3"/>
      </w:pPr>
      <w:r>
        <w:t xml:space="preserve">Arrange for </w:t>
      </w:r>
      <w:r w:rsidR="00852EB2">
        <w:t>consultation</w:t>
      </w:r>
      <w:r>
        <w:t xml:space="preserve"> </w:t>
      </w:r>
      <w:r w:rsidR="005159E1">
        <w:t xml:space="preserve">to resolve </w:t>
      </w:r>
      <w:r w:rsidR="005159E1">
        <w:rPr>
          <w:rStyle w:val="SOPDefault"/>
        </w:rPr>
        <w:t>local, state, or international requirements</w:t>
      </w:r>
      <w:r w:rsidR="00842B43">
        <w:t>.</w:t>
      </w:r>
    </w:p>
    <w:p w14:paraId="78C9DC1B" w14:textId="77777777" w:rsidR="001039BA" w:rsidRDefault="001039BA" w:rsidP="001039BA">
      <w:pPr>
        <w:pStyle w:val="SOPLevel3"/>
      </w:pPr>
      <w:r>
        <w:t>Identify other special review issues.</w:t>
      </w:r>
    </w:p>
    <w:p w14:paraId="78C9DC1C" w14:textId="77777777" w:rsidR="00BD34D0" w:rsidRDefault="00C207B4" w:rsidP="00C207B4">
      <w:pPr>
        <w:pStyle w:val="SOPLevel3"/>
      </w:pPr>
      <w:r>
        <w:t>Determine the likely level of review (</w:t>
      </w:r>
      <w:r w:rsidR="00F63355">
        <w:t>&lt;</w:t>
      </w:r>
      <w:r>
        <w:t xml:space="preserve">Committee </w:t>
      </w:r>
      <w:r w:rsidR="00F63355">
        <w:t>R</w:t>
      </w:r>
      <w:r>
        <w:t>eview</w:t>
      </w:r>
      <w:r w:rsidR="00F63355">
        <w:t>&gt;</w:t>
      </w:r>
      <w:r w:rsidR="006B282C">
        <w:t xml:space="preserve"> versus &lt;Non-c</w:t>
      </w:r>
      <w:r>
        <w:t>ommittee Review&gt;)</w:t>
      </w:r>
    </w:p>
    <w:p w14:paraId="15E8674E" w14:textId="77777777" w:rsidR="000752EC" w:rsidRDefault="000752EC" w:rsidP="000752EC">
      <w:pPr>
        <w:pStyle w:val="SOPLevel3"/>
      </w:pPr>
      <w:r>
        <w:t>Handle responses to modifications required to secure approval</w:t>
      </w:r>
    </w:p>
    <w:p w14:paraId="31EC3878" w14:textId="77777777" w:rsidR="000752EC" w:rsidRDefault="000752EC" w:rsidP="000752EC">
      <w:pPr>
        <w:pStyle w:val="SOPLevel2"/>
      </w:pPr>
      <w:r>
        <w:t>The &lt;Regulatory Reviewer&gt; documents &lt;Regulatory Review&gt; findings.</w:t>
      </w:r>
    </w:p>
    <w:p w14:paraId="2A1FC220" w14:textId="77777777" w:rsidR="00C349EE" w:rsidRDefault="00C349EE" w:rsidP="00C349EE">
      <w:pPr>
        <w:pStyle w:val="SOPLevel2"/>
      </w:pPr>
      <w:r>
        <w:t>The &lt;Meeting Chair&gt; ensures that issues raised by &lt;Regulatory Review&gt; are covered at meetings.</w:t>
      </w:r>
    </w:p>
    <w:p w14:paraId="5D47882F" w14:textId="36376EB7" w:rsidR="000752EC" w:rsidRPr="000E3502" w:rsidRDefault="000752EC" w:rsidP="000752EC">
      <w:pPr>
        <w:pStyle w:val="SOPLevel2"/>
      </w:pPr>
      <w:r w:rsidRPr="000E3502">
        <w:t xml:space="preserve">The addition of a site to a previously approved </w:t>
      </w:r>
      <w:r>
        <w:t>study</w:t>
      </w:r>
      <w:r w:rsidRPr="000E3502">
        <w:t xml:space="preserve"> is considered a</w:t>
      </w:r>
      <w:r w:rsidR="000113C9">
        <w:t xml:space="preserve">n amendment </w:t>
      </w:r>
      <w:r w:rsidRPr="000E3502">
        <w:t>to previously approved research.</w:t>
      </w:r>
    </w:p>
    <w:p w14:paraId="1C406485" w14:textId="2D8710BE" w:rsidR="000752EC" w:rsidRDefault="000752EC" w:rsidP="000752EC">
      <w:pPr>
        <w:pStyle w:val="SOPLevel2"/>
      </w:pPr>
      <w:r>
        <w:t>Changes to</w:t>
      </w:r>
      <w:r w:rsidRPr="000E3502">
        <w:t xml:space="preserve"> study personnel are not considered a</w:t>
      </w:r>
      <w:r w:rsidR="000113C9">
        <w:t xml:space="preserve">n amendment </w:t>
      </w:r>
      <w:r w:rsidRPr="000E3502">
        <w:t>to previously approved research</w:t>
      </w:r>
      <w:r>
        <w:t xml:space="preserve"> when the study personnel meet</w:t>
      </w:r>
      <w:r w:rsidRPr="000E3502">
        <w:t xml:space="preserve"> the qualifications described in the IRB approved </w:t>
      </w:r>
      <w:r>
        <w:t>study</w:t>
      </w:r>
      <w:r w:rsidRPr="000E3502">
        <w:t>.</w:t>
      </w:r>
    </w:p>
    <w:p w14:paraId="6D5CF5F1" w14:textId="6B2A0A09" w:rsidR="000752EC" w:rsidRDefault="000752EC" w:rsidP="000752EC">
      <w:pPr>
        <w:pStyle w:val="SOPLevel2"/>
      </w:pPr>
      <w:r>
        <w:t xml:space="preserve">Changes in the number of subjects to be enrolled at a local site of a multicenter study are not considered to be </w:t>
      </w:r>
      <w:r w:rsidR="000113C9">
        <w:t>amendments</w:t>
      </w:r>
      <w:r>
        <w:t xml:space="preserve"> to previously </w:t>
      </w:r>
      <w:r w:rsidRPr="000E3502">
        <w:t xml:space="preserve">approved </w:t>
      </w:r>
      <w:r>
        <w:t>research when the number of subjects to be enrolled in the entire study is unchanged.</w:t>
      </w:r>
    </w:p>
    <w:p w14:paraId="39EE40F9" w14:textId="52333637" w:rsidR="000752EC" w:rsidRDefault="000752EC" w:rsidP="00F7198F">
      <w:pPr>
        <w:pStyle w:val="SOPLevel2"/>
      </w:pPr>
      <w:r w:rsidRPr="002F2AA4">
        <w:t xml:space="preserve">The IRB can provide generic approval for materials not tied to a specific protocol (such as generic advertisements </w:t>
      </w:r>
      <w:r>
        <w:t xml:space="preserve">or generic pre-screening consent forms). </w:t>
      </w:r>
    </w:p>
    <w:p w14:paraId="78C9DC21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RESPONSIBILITY</w:t>
      </w:r>
    </w:p>
    <w:p w14:paraId="4748BA22" w14:textId="77777777" w:rsidR="003E6344" w:rsidRPr="004C046E" w:rsidRDefault="003E6344" w:rsidP="00C15748">
      <w:pPr>
        <w:pStyle w:val="SOPLevel2"/>
        <w:numPr>
          <w:ilvl w:val="1"/>
          <w:numId w:val="3"/>
        </w:numPr>
      </w:pPr>
      <w:r>
        <w:t xml:space="preserve">&lt;Regulatory Reviewers&gt; </w:t>
      </w:r>
      <w:r w:rsidRPr="004C046E">
        <w:t>carry out these procedures.</w:t>
      </w:r>
      <w:r>
        <w:t xml:space="preserve"> Qualified IRB staff who are not &lt;Regulatory Reviewers&gt; can review responses to a decision to conditionally approve research.</w:t>
      </w:r>
    </w:p>
    <w:p w14:paraId="78C9DC23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PROCEDURE</w:t>
      </w:r>
    </w:p>
    <w:p w14:paraId="7205E6C7" w14:textId="77777777" w:rsidR="000752EC" w:rsidRPr="00C15748" w:rsidRDefault="000752EC" w:rsidP="000752EC">
      <w:pPr>
        <w:pStyle w:val="SOPLevel2"/>
        <w:numPr>
          <w:ilvl w:val="1"/>
          <w:numId w:val="3"/>
        </w:numPr>
        <w:rPr>
          <w:rStyle w:val="SOPDefault"/>
        </w:rPr>
      </w:pPr>
      <w:r w:rsidRPr="005C5100">
        <w:rPr>
          <w:rStyle w:val="SOPDefault"/>
        </w:rPr>
        <w:t>If the submission is a response to a decision to conditionally approve research:</w:t>
      </w:r>
    </w:p>
    <w:p w14:paraId="4C3DC881" w14:textId="3E97C229" w:rsidR="003E6344" w:rsidRPr="003E6344" w:rsidRDefault="003E6344" w:rsidP="00C15748">
      <w:pPr>
        <w:pStyle w:val="SOPLevel3"/>
        <w:rPr>
          <w:rStyle w:val="SOPDefault"/>
        </w:rPr>
      </w:pPr>
      <w:r w:rsidRPr="003E6344">
        <w:rPr>
          <w:rStyle w:val="SOPDefault"/>
        </w:rPr>
        <w:t>Evaluate whether the submitted materials meet the conditions necessary for approval and evaluate if any other changes have been made.</w:t>
      </w:r>
    </w:p>
    <w:p w14:paraId="7941E2B0" w14:textId="3D616309" w:rsidR="003E6344" w:rsidRPr="003E6344" w:rsidRDefault="003E6344" w:rsidP="00C15748">
      <w:pPr>
        <w:pStyle w:val="SOPLevel3"/>
        <w:rPr>
          <w:rStyle w:val="SOPDefault"/>
        </w:rPr>
      </w:pPr>
      <w:r w:rsidRPr="003E6344">
        <w:rPr>
          <w:rStyle w:val="SOPDefault"/>
        </w:rPr>
        <w:t>If the submitted materials meet the conditions necessary for approval and nothing else in the submission has changed, document that the submission is approved and follow “SOP: Post-Review (HRP-111).” Otherwise, process as described in this SOP.</w:t>
      </w:r>
    </w:p>
    <w:p w14:paraId="7F1F1FC9" w14:textId="2CEDF1CB" w:rsidR="00B217A5" w:rsidRDefault="00B217A5" w:rsidP="00B217A5">
      <w:pPr>
        <w:pStyle w:val="SOPLevel2"/>
        <w:rPr>
          <w:rStyle w:val="SOPDefault"/>
        </w:rPr>
      </w:pPr>
      <w:r w:rsidRPr="00B217A5">
        <w:rPr>
          <w:rStyle w:val="SOPDefault"/>
        </w:rPr>
        <w:t xml:space="preserve">If the submission meets “WORKSHEET: Closure Criteria (HRP-413)”, </w:t>
      </w:r>
      <w:r w:rsidR="006147AB">
        <w:rPr>
          <w:rStyle w:val="SOPDefault"/>
        </w:rPr>
        <w:t>notify the investigator that the study qualifies for closure. If the investigator agrees to closing the study,</w:t>
      </w:r>
      <w:r w:rsidRPr="00B217A5">
        <w:rPr>
          <w:rStyle w:val="SOPDefault"/>
        </w:rPr>
        <w:t xml:space="preserve"> close the study, follow “SOP: Post-Review (HRP-111)” to notify the investigator, and stop further processing.</w:t>
      </w:r>
    </w:p>
    <w:p w14:paraId="78C9DC25" w14:textId="65F4E5C2" w:rsidR="001350C3" w:rsidRDefault="001350C3" w:rsidP="00B217A5">
      <w:pPr>
        <w:pStyle w:val="SOPLevel2"/>
        <w:rPr>
          <w:rStyle w:val="SOPDefault"/>
        </w:rPr>
      </w:pPr>
      <w:r>
        <w:rPr>
          <w:rStyle w:val="SOPDefault"/>
        </w:rPr>
        <w:lastRenderedPageBreak/>
        <w:t>If the investigator is &lt;Restricted&gt; and the submission satisfies all outstanding delinquent submissions, remove the investigator’s &lt;Restricted&gt; status.</w:t>
      </w:r>
    </w:p>
    <w:p w14:paraId="78C9DC26" w14:textId="77777777" w:rsidR="001350C3" w:rsidRDefault="001350C3" w:rsidP="001267F3">
      <w:pPr>
        <w:pStyle w:val="SOPLevel2"/>
        <w:rPr>
          <w:rStyle w:val="SOPDefault"/>
        </w:rPr>
      </w:pPr>
      <w:r>
        <w:rPr>
          <w:rStyle w:val="SOPDefault"/>
        </w:rPr>
        <w:t>If the investigator is &lt;Restricted&gt; and the submission is an initial submission, notify the submission contact of IRB policy to disapprove those submissions:</w:t>
      </w:r>
    </w:p>
    <w:p w14:paraId="78C9DC27" w14:textId="37991791" w:rsidR="001350C3" w:rsidRDefault="001350C3" w:rsidP="001350C3">
      <w:pPr>
        <w:pStyle w:val="SOPLevel3"/>
        <w:rPr>
          <w:rStyle w:val="SOPDefault"/>
        </w:rPr>
      </w:pPr>
      <w:r>
        <w:rPr>
          <w:rStyle w:val="SOPDefault"/>
        </w:rPr>
        <w:t xml:space="preserve">If the submission contact wants to address the &lt;Restricted&gt; status, have the contact </w:t>
      </w:r>
      <w:r w:rsidR="004F2536">
        <w:rPr>
          <w:rStyle w:val="SOPDefault"/>
        </w:rPr>
        <w:t xml:space="preserve">provide additional information as appropriate to resolve the issues, or </w:t>
      </w:r>
      <w:r>
        <w:rPr>
          <w:rStyle w:val="SOPDefault"/>
        </w:rPr>
        <w:t>withdraw the submission and resubmit when complete.</w:t>
      </w:r>
    </w:p>
    <w:p w14:paraId="78C9DC28" w14:textId="77777777" w:rsidR="001350C3" w:rsidRDefault="001350C3" w:rsidP="001350C3">
      <w:pPr>
        <w:pStyle w:val="SOPLevel3"/>
        <w:rPr>
          <w:rStyle w:val="SOPDefault"/>
        </w:rPr>
      </w:pPr>
      <w:r>
        <w:rPr>
          <w:rStyle w:val="SOPDefault"/>
        </w:rPr>
        <w:t>If the submission contact does not want to address the &lt;Restricted&gt; status, note this and continue processing.</w:t>
      </w:r>
    </w:p>
    <w:p w14:paraId="78C9DC2C" w14:textId="3B4A69D5" w:rsidR="004C046E" w:rsidRPr="004C046E" w:rsidRDefault="004C046E" w:rsidP="004C046E">
      <w:pPr>
        <w:pStyle w:val="SOPLevel2"/>
        <w:rPr>
          <w:rStyle w:val="SOPDefault"/>
        </w:rPr>
      </w:pPr>
      <w:r w:rsidRPr="004C046E">
        <w:rPr>
          <w:rStyle w:val="SOPDefault"/>
        </w:rPr>
        <w:t xml:space="preserve">Determine whether the submission is initial, continuing, </w:t>
      </w:r>
      <w:r w:rsidR="000E3502">
        <w:rPr>
          <w:rStyle w:val="SOPDefault"/>
        </w:rPr>
        <w:t xml:space="preserve">or </w:t>
      </w:r>
      <w:r w:rsidR="000113C9">
        <w:rPr>
          <w:rStyle w:val="SOPDefault"/>
        </w:rPr>
        <w:t>amendment</w:t>
      </w:r>
      <w:r w:rsidRPr="004C046E">
        <w:rPr>
          <w:rStyle w:val="SOPDefault"/>
        </w:rPr>
        <w:t xml:space="preserve">. If both continuing and </w:t>
      </w:r>
      <w:r w:rsidR="000113C9">
        <w:rPr>
          <w:rStyle w:val="SOPDefault"/>
        </w:rPr>
        <w:t>amendment</w:t>
      </w:r>
      <w:r w:rsidRPr="004C046E">
        <w:rPr>
          <w:rStyle w:val="SOPDefault"/>
        </w:rPr>
        <w:t>, follow both</w:t>
      </w:r>
      <w:r>
        <w:rPr>
          <w:rStyle w:val="SOPDefault"/>
        </w:rPr>
        <w:t xml:space="preserve"> procedures</w:t>
      </w:r>
      <w:r w:rsidRPr="004C046E">
        <w:rPr>
          <w:rStyle w:val="SOPDefault"/>
        </w:rPr>
        <w:t>.</w:t>
      </w:r>
    </w:p>
    <w:p w14:paraId="78C9DC2D" w14:textId="77777777" w:rsidR="004C046E" w:rsidRDefault="004C046E" w:rsidP="004C046E">
      <w:pPr>
        <w:pStyle w:val="SOPLevel3"/>
        <w:rPr>
          <w:rStyle w:val="SOPDefault"/>
        </w:rPr>
      </w:pPr>
      <w:r>
        <w:rPr>
          <w:rStyle w:val="SOPDefault"/>
        </w:rPr>
        <w:t>For initial submission:</w:t>
      </w:r>
    </w:p>
    <w:p w14:paraId="4F9F4551" w14:textId="77777777" w:rsidR="003E4AAC" w:rsidRPr="005C5100" w:rsidRDefault="003E4AAC" w:rsidP="003E4AAC">
      <w:pPr>
        <w:pStyle w:val="SOPLevel4"/>
        <w:rPr>
          <w:rStyle w:val="SOPDefault"/>
        </w:rPr>
      </w:pPr>
      <w:r w:rsidRPr="005C5100">
        <w:rPr>
          <w:rStyle w:val="SOPDefault"/>
        </w:rPr>
        <w:t>Use “WORKSHEET: Regulatory Review (HRP-420).”</w:t>
      </w:r>
    </w:p>
    <w:p w14:paraId="2C330AD2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Document any &lt;Regulatory Review&gt; findings.</w:t>
      </w:r>
    </w:p>
    <w:p w14:paraId="78C9DC31" w14:textId="13FF3E90" w:rsidR="004C046E" w:rsidRDefault="004C046E" w:rsidP="004C046E">
      <w:pPr>
        <w:pStyle w:val="SOPLevel3"/>
        <w:rPr>
          <w:rStyle w:val="SOPDefault"/>
        </w:rPr>
      </w:pPr>
      <w:r>
        <w:rPr>
          <w:rStyle w:val="SOPDefault"/>
        </w:rPr>
        <w:t>For a</w:t>
      </w:r>
      <w:r w:rsidR="000113C9">
        <w:rPr>
          <w:rStyle w:val="SOPDefault"/>
        </w:rPr>
        <w:t>n</w:t>
      </w:r>
      <w:r>
        <w:rPr>
          <w:rStyle w:val="SOPDefault"/>
        </w:rPr>
        <w:t xml:space="preserve"> </w:t>
      </w:r>
      <w:r w:rsidR="000113C9">
        <w:rPr>
          <w:rStyle w:val="SOPDefault"/>
        </w:rPr>
        <w:t>amendment</w:t>
      </w:r>
      <w:r>
        <w:rPr>
          <w:rStyle w:val="SOPDefault"/>
        </w:rPr>
        <w:t xml:space="preserve"> submission:</w:t>
      </w:r>
    </w:p>
    <w:p w14:paraId="62F6C69F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Review the &lt;Regulatory Review&gt; findings associated with prior approval(s).</w:t>
      </w:r>
    </w:p>
    <w:p w14:paraId="302EA74A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U</w:t>
      </w:r>
      <w:r w:rsidRPr="004C046E">
        <w:rPr>
          <w:rStyle w:val="SOPDefault"/>
        </w:rPr>
        <w:t xml:space="preserve">se </w:t>
      </w:r>
      <w:r>
        <w:rPr>
          <w:rStyle w:val="SOPDefault"/>
        </w:rPr>
        <w:t>“WORKSHEET: Regulatory Review (HRP-420).”</w:t>
      </w:r>
    </w:p>
    <w:p w14:paraId="08D4A072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Update &lt;Regulatory Review&gt;</w:t>
      </w:r>
      <w:r w:rsidRPr="00A064C6">
        <w:rPr>
          <w:rStyle w:val="SOPDefault"/>
        </w:rPr>
        <w:t xml:space="preserve"> </w:t>
      </w:r>
      <w:r>
        <w:rPr>
          <w:rStyle w:val="SOPDefault"/>
        </w:rPr>
        <w:t>findings as needed.</w:t>
      </w:r>
    </w:p>
    <w:p w14:paraId="601BF1BB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 xml:space="preserve">Determine whether the submission includes information that might represent </w:t>
      </w:r>
      <w:r>
        <w:t>an &lt;Unanticipated Problem Involving Risks to Subjects or Others&gt;, &lt;Serious Noncompliance&gt;, &lt;Continuing Noncompliance&gt;, &lt;Suspension of IRB Approval&gt;, or &lt;Termination of IRB Approval&gt;</w:t>
      </w:r>
      <w:r>
        <w:rPr>
          <w:rStyle w:val="SOPDefault"/>
        </w:rPr>
        <w:t xml:space="preserve">. </w:t>
      </w:r>
    </w:p>
    <w:p w14:paraId="2B15753E" w14:textId="77777777" w:rsidR="003E4AAC" w:rsidRDefault="003E4AAC" w:rsidP="003E4AAC">
      <w:pPr>
        <w:pStyle w:val="SOPLevel5"/>
        <w:rPr>
          <w:rStyle w:val="SOPDefault"/>
        </w:rPr>
      </w:pPr>
      <w:r>
        <w:rPr>
          <w:rStyle w:val="SOPDefault"/>
        </w:rPr>
        <w:t>If so, additionally process under “SOP: New Information (HRP-112).”</w:t>
      </w:r>
    </w:p>
    <w:p w14:paraId="78C9DC37" w14:textId="77777777" w:rsidR="004C046E" w:rsidRDefault="004C046E" w:rsidP="004C046E">
      <w:pPr>
        <w:pStyle w:val="SOPLevel3"/>
        <w:rPr>
          <w:rStyle w:val="SOPDefault"/>
        </w:rPr>
      </w:pPr>
      <w:r>
        <w:rPr>
          <w:rStyle w:val="SOPDefault"/>
        </w:rPr>
        <w:t>For continuing submission:</w:t>
      </w:r>
    </w:p>
    <w:p w14:paraId="68A50453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Review the &lt;Regulatory Review&gt; findings associated with prior approval(s).</w:t>
      </w:r>
    </w:p>
    <w:p w14:paraId="1DA3C137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U</w:t>
      </w:r>
      <w:r w:rsidRPr="004C046E">
        <w:rPr>
          <w:rStyle w:val="SOPDefault"/>
        </w:rPr>
        <w:t xml:space="preserve">se </w:t>
      </w:r>
      <w:r>
        <w:rPr>
          <w:rStyle w:val="SOPDefault"/>
        </w:rPr>
        <w:t>“WORKSHEET: Regulatory Review (HRP-420).”</w:t>
      </w:r>
    </w:p>
    <w:p w14:paraId="2E382563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>Update &lt;Regulatory Review&gt;</w:t>
      </w:r>
      <w:r w:rsidRPr="00A064C6">
        <w:rPr>
          <w:rStyle w:val="SOPDefault"/>
        </w:rPr>
        <w:t xml:space="preserve"> </w:t>
      </w:r>
      <w:r>
        <w:rPr>
          <w:rStyle w:val="SOPDefault"/>
        </w:rPr>
        <w:t>findings as needed.</w:t>
      </w:r>
    </w:p>
    <w:p w14:paraId="3AFF089A" w14:textId="77777777" w:rsidR="003E4AAC" w:rsidRDefault="003E4AAC" w:rsidP="003E4AAC">
      <w:pPr>
        <w:pStyle w:val="SOPLevel4"/>
        <w:rPr>
          <w:rStyle w:val="SOPDefault"/>
        </w:rPr>
      </w:pPr>
      <w:r>
        <w:rPr>
          <w:rStyle w:val="SOPDefault"/>
        </w:rPr>
        <w:t xml:space="preserve">Determine whether the submission includes information that might represent </w:t>
      </w:r>
      <w:r>
        <w:t>an &lt;Unanticipated Problem Involving Risks to Subjects or Others&gt;, &lt;Serious Noncompliance&gt;, &lt;Continuing Noncompliance&gt;, &lt;Suspension of IRB Approval&gt;, or &lt;Termination of IRB Approval&gt;</w:t>
      </w:r>
      <w:r>
        <w:rPr>
          <w:rStyle w:val="SOPDefault"/>
        </w:rPr>
        <w:t xml:space="preserve">. </w:t>
      </w:r>
    </w:p>
    <w:p w14:paraId="64F9DA47" w14:textId="77777777" w:rsidR="003E4AAC" w:rsidRDefault="003E4AAC" w:rsidP="003E4AAC">
      <w:pPr>
        <w:pStyle w:val="SOPLevel5"/>
        <w:rPr>
          <w:rStyle w:val="SOPDefault"/>
        </w:rPr>
      </w:pPr>
      <w:r>
        <w:rPr>
          <w:rStyle w:val="SOPDefault"/>
        </w:rPr>
        <w:t>If so, additionally process under “SOP: New Information (HRP-112).”</w:t>
      </w:r>
    </w:p>
    <w:p w14:paraId="78C9DC3E" w14:textId="77777777" w:rsidR="00173AC2" w:rsidRDefault="00173AC2" w:rsidP="004C046E">
      <w:pPr>
        <w:pStyle w:val="SOPLevel2"/>
        <w:rPr>
          <w:rStyle w:val="SOPDefault"/>
        </w:rPr>
      </w:pPr>
      <w:r>
        <w:rPr>
          <w:rStyle w:val="SOPDefault"/>
        </w:rPr>
        <w:t xml:space="preserve">Identify any </w:t>
      </w:r>
      <w:r w:rsidR="00CD08C0">
        <w:rPr>
          <w:rStyle w:val="SOPDefault"/>
        </w:rPr>
        <w:t>relevant</w:t>
      </w:r>
      <w:r>
        <w:rPr>
          <w:rStyle w:val="SOPDefault"/>
        </w:rPr>
        <w:t xml:space="preserve"> local</w:t>
      </w:r>
      <w:r w:rsidR="00BD34D0">
        <w:rPr>
          <w:rStyle w:val="SOPDefault"/>
        </w:rPr>
        <w:t>, state,</w:t>
      </w:r>
      <w:r>
        <w:rPr>
          <w:rStyle w:val="SOPDefault"/>
        </w:rPr>
        <w:t xml:space="preserve"> or international </w:t>
      </w:r>
      <w:r w:rsidR="00CD08C0">
        <w:rPr>
          <w:rStyle w:val="SOPDefault"/>
        </w:rPr>
        <w:t>requirements</w:t>
      </w:r>
      <w:r w:rsidR="00BD34D0">
        <w:rPr>
          <w:rStyle w:val="SOPDefault"/>
        </w:rPr>
        <w:t xml:space="preserve"> related to human research</w:t>
      </w:r>
      <w:r>
        <w:rPr>
          <w:rStyle w:val="SOPDefault"/>
        </w:rPr>
        <w:t>.</w:t>
      </w:r>
    </w:p>
    <w:p w14:paraId="78C9DC3F" w14:textId="28AB6E14" w:rsidR="00852EB2" w:rsidRDefault="00852EB2" w:rsidP="00173AC2">
      <w:pPr>
        <w:pStyle w:val="SOPLevel3"/>
        <w:rPr>
          <w:rStyle w:val="SOPDefault"/>
        </w:rPr>
      </w:pPr>
      <w:r>
        <w:rPr>
          <w:rStyle w:val="SOPDefault"/>
        </w:rPr>
        <w:t xml:space="preserve">Arrange for consultation, if needed to resolve </w:t>
      </w:r>
      <w:r w:rsidR="00173AC2">
        <w:rPr>
          <w:rStyle w:val="SOPDefault"/>
        </w:rPr>
        <w:t>local</w:t>
      </w:r>
      <w:r w:rsidR="00CD08C0">
        <w:rPr>
          <w:rStyle w:val="SOPDefault"/>
        </w:rPr>
        <w:t xml:space="preserve">, state, </w:t>
      </w:r>
      <w:r>
        <w:rPr>
          <w:rStyle w:val="SOPDefault"/>
        </w:rPr>
        <w:t>or i</w:t>
      </w:r>
      <w:r w:rsidR="00BD34D0">
        <w:rPr>
          <w:rStyle w:val="SOPDefault"/>
        </w:rPr>
        <w:t>nternational regulatory issues.</w:t>
      </w:r>
    </w:p>
    <w:p w14:paraId="78C9DC40" w14:textId="77777777" w:rsidR="004C046E" w:rsidRDefault="00016E75" w:rsidP="004C046E">
      <w:pPr>
        <w:pStyle w:val="SOPLevel2"/>
        <w:rPr>
          <w:rStyle w:val="SOPDefault"/>
        </w:rPr>
      </w:pPr>
      <w:r>
        <w:rPr>
          <w:rStyle w:val="SOPDefault"/>
        </w:rPr>
        <w:t xml:space="preserve">Communicate with the submission contact </w:t>
      </w:r>
      <w:r w:rsidR="00FE374D">
        <w:rPr>
          <w:rStyle w:val="SOPDefault"/>
        </w:rPr>
        <w:t>for</w:t>
      </w:r>
      <w:r>
        <w:rPr>
          <w:rStyle w:val="SOPDefault"/>
        </w:rPr>
        <w:t xml:space="preserve"> any </w:t>
      </w:r>
      <w:r w:rsidR="000B03D7">
        <w:rPr>
          <w:rStyle w:val="SOPDefault"/>
        </w:rPr>
        <w:t xml:space="preserve">potentially resolvable </w:t>
      </w:r>
      <w:r>
        <w:rPr>
          <w:rStyle w:val="SOPDefault"/>
        </w:rPr>
        <w:t>contingencies.</w:t>
      </w:r>
    </w:p>
    <w:p w14:paraId="78C9DC41" w14:textId="549BD5AB" w:rsidR="00016E75" w:rsidRDefault="00016E75" w:rsidP="00016E75">
      <w:pPr>
        <w:pStyle w:val="SOPLevel3"/>
        <w:rPr>
          <w:rStyle w:val="SOPDefault"/>
        </w:rPr>
      </w:pPr>
      <w:r>
        <w:rPr>
          <w:rStyle w:val="SOPDefault"/>
        </w:rPr>
        <w:t xml:space="preserve">If the submission contact wants to address the contingencies, have the contact </w:t>
      </w:r>
      <w:r w:rsidR="004F2536">
        <w:rPr>
          <w:rStyle w:val="SOPDefault"/>
        </w:rPr>
        <w:t xml:space="preserve">provide additional information as appropriate to resolve the issues, or </w:t>
      </w:r>
      <w:r>
        <w:rPr>
          <w:rStyle w:val="SOPDefault"/>
        </w:rPr>
        <w:t>withdraw the submission and resubmit when complete.</w:t>
      </w:r>
    </w:p>
    <w:p w14:paraId="78C9DC42" w14:textId="77777777" w:rsidR="00016E75" w:rsidRDefault="00016E75" w:rsidP="00016E75">
      <w:pPr>
        <w:pStyle w:val="SOPLevel3"/>
        <w:rPr>
          <w:rStyle w:val="SOPDefault"/>
        </w:rPr>
      </w:pPr>
      <w:r>
        <w:rPr>
          <w:rStyle w:val="SOPDefault"/>
        </w:rPr>
        <w:t xml:space="preserve">If the submission contact does not want to address </w:t>
      </w:r>
      <w:r w:rsidR="00D655F0">
        <w:rPr>
          <w:rStyle w:val="SOPDefault"/>
        </w:rPr>
        <w:t xml:space="preserve">the contingencies, note this </w:t>
      </w:r>
      <w:r>
        <w:rPr>
          <w:rStyle w:val="SOPDefault"/>
        </w:rPr>
        <w:t>and continue processing.</w:t>
      </w:r>
    </w:p>
    <w:p w14:paraId="78C9DC43" w14:textId="77777777" w:rsidR="007E230F" w:rsidRDefault="007E230F" w:rsidP="007E230F">
      <w:pPr>
        <w:pStyle w:val="SOPLevel2"/>
        <w:numPr>
          <w:ilvl w:val="1"/>
          <w:numId w:val="3"/>
        </w:numPr>
        <w:rPr>
          <w:rStyle w:val="SOPDefault"/>
        </w:rPr>
      </w:pPr>
      <w:r>
        <w:rPr>
          <w:rStyle w:val="SOPDefault"/>
        </w:rPr>
        <w:t>Determine whether the likely level of review is &lt;Non-Committee Review&gt; or &lt;Committee Review&gt; and route appropriately.</w:t>
      </w:r>
    </w:p>
    <w:p w14:paraId="78C9DC44" w14:textId="77777777" w:rsidR="0027369B" w:rsidRDefault="0027369B" w:rsidP="0027369B">
      <w:pPr>
        <w:pStyle w:val="SOPLevel1"/>
        <w:numPr>
          <w:ilvl w:val="0"/>
          <w:numId w:val="3"/>
        </w:numPr>
      </w:pPr>
      <w:r>
        <w:lastRenderedPageBreak/>
        <w:t>REFERENCES</w:t>
      </w:r>
    </w:p>
    <w:p w14:paraId="78C9DC45" w14:textId="77777777" w:rsidR="006D21A8" w:rsidRPr="0027369B" w:rsidRDefault="0027369B" w:rsidP="0027369B">
      <w:pPr>
        <w:pStyle w:val="SOPLevel2"/>
        <w:numPr>
          <w:ilvl w:val="1"/>
          <w:numId w:val="3"/>
        </w:numPr>
      </w:pPr>
      <w:r>
        <w:t>None</w:t>
      </w:r>
    </w:p>
    <w:sectPr w:rsidR="006D21A8" w:rsidRPr="0027369B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2A92" w14:textId="77777777" w:rsidR="00B63BCB" w:rsidRDefault="00B63BCB" w:rsidP="0093159B">
      <w:pPr>
        <w:spacing w:after="0" w:line="240" w:lineRule="auto"/>
      </w:pPr>
      <w:r>
        <w:separator/>
      </w:r>
    </w:p>
  </w:endnote>
  <w:endnote w:type="continuationSeparator" w:id="0">
    <w:p w14:paraId="343F1462" w14:textId="77777777" w:rsidR="00B63BCB" w:rsidRDefault="00B63BCB" w:rsidP="0093159B">
      <w:pPr>
        <w:spacing w:after="0" w:line="240" w:lineRule="auto"/>
      </w:pPr>
      <w:r>
        <w:continuationSeparator/>
      </w:r>
    </w:p>
  </w:endnote>
  <w:endnote w:type="continuationNotice" w:id="1">
    <w:p w14:paraId="0E75C184" w14:textId="77777777" w:rsidR="00B63BCB" w:rsidRDefault="00B63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DC5F" w14:textId="1DBAFBF6" w:rsidR="00956356" w:rsidRPr="00142988" w:rsidRDefault="006664F8" w:rsidP="00142988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2876" w14:textId="77777777" w:rsidR="00B63BCB" w:rsidRDefault="00B63BCB" w:rsidP="0093159B">
      <w:pPr>
        <w:spacing w:after="0" w:line="240" w:lineRule="auto"/>
      </w:pPr>
      <w:r>
        <w:separator/>
      </w:r>
    </w:p>
  </w:footnote>
  <w:footnote w:type="continuationSeparator" w:id="0">
    <w:p w14:paraId="2F6CA87C" w14:textId="77777777" w:rsidR="00B63BCB" w:rsidRDefault="00B63BCB" w:rsidP="0093159B">
      <w:pPr>
        <w:spacing w:after="0" w:line="240" w:lineRule="auto"/>
      </w:pPr>
      <w:r>
        <w:continuationSeparator/>
      </w:r>
    </w:p>
  </w:footnote>
  <w:footnote w:type="continuationNotice" w:id="1">
    <w:p w14:paraId="68FE59E6" w14:textId="77777777" w:rsidR="00B63BCB" w:rsidRDefault="00B63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E0247A" w:rsidRPr="00E0247A" w14:paraId="78C9DC4D" w14:textId="77777777" w:rsidTr="00271F6C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4B" w14:textId="4FD6CB32" w:rsidR="00E0247A" w:rsidRPr="00E0247A" w:rsidRDefault="00271F6C" w:rsidP="00E0247A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E3E2FE0" wp14:editId="38BEB707">
                <wp:simplePos x="1095375" y="590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3080" cy="566420"/>
                <wp:effectExtent l="0" t="0" r="7620" b="5080"/>
                <wp:wrapSquare wrapText="bothSides"/>
                <wp:docPr id="2" name="Picture 2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4C" w14:textId="77777777" w:rsidR="00E0247A" w:rsidRPr="00E0247A" w:rsidRDefault="00E0247A" w:rsidP="00E0247A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E0247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E0247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E0247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B01089">
            <w:rPr>
              <w:rFonts w:ascii="Arial" w:hAnsi="Arial" w:cs="Arial"/>
              <w:b/>
              <w:bCs/>
              <w:sz w:val="28"/>
              <w:szCs w:val="28"/>
            </w:rPr>
            <w:t>SOP: Regulatory Review</w:t>
          </w:r>
          <w:r w:rsidRPr="00E0247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E0247A" w:rsidRPr="00E0247A" w14:paraId="78C9DC53" w14:textId="77777777" w:rsidTr="00271F6C">
      <w:trPr>
        <w:cantSplit/>
        <w:trHeight w:hRule="exact" w:val="216"/>
      </w:trPr>
      <w:tc>
        <w:tcPr>
          <w:tcW w:w="339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4E" w14:textId="77777777" w:rsidR="00E0247A" w:rsidRPr="00E0247A" w:rsidRDefault="00E0247A" w:rsidP="00E0247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8C9DC4F" w14:textId="77777777" w:rsidR="00E0247A" w:rsidRPr="00E0247A" w:rsidRDefault="00E0247A" w:rsidP="00957688">
          <w:pPr>
            <w:pStyle w:val="SOPTableHeader"/>
          </w:pPr>
          <w:r w:rsidRPr="00E0247A">
            <w:t>Document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8C9DC50" w14:textId="77777777" w:rsidR="00E0247A" w:rsidRPr="00E0247A" w:rsidRDefault="00E0247A" w:rsidP="00957688">
          <w:pPr>
            <w:pStyle w:val="SOPTableHeader"/>
          </w:pPr>
          <w:r w:rsidRPr="00E0247A">
            <w:t>Edition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8C9DC51" w14:textId="77777777" w:rsidR="00E0247A" w:rsidRPr="00E0247A" w:rsidRDefault="00E0247A" w:rsidP="00957688">
          <w:pPr>
            <w:pStyle w:val="SOPTableHeader"/>
          </w:pPr>
          <w:r w:rsidRPr="00E0247A">
            <w:t>Effective Date: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8C9DC52" w14:textId="77777777" w:rsidR="00E0247A" w:rsidRPr="00E0247A" w:rsidRDefault="00E0247A" w:rsidP="00957688">
          <w:pPr>
            <w:pStyle w:val="SOPTableHeader"/>
          </w:pPr>
          <w:r w:rsidRPr="00E0247A">
            <w:t>Page:</w:t>
          </w:r>
        </w:p>
      </w:tc>
    </w:tr>
    <w:tr w:rsidR="00E0247A" w:rsidRPr="00E0247A" w14:paraId="78C9DC59" w14:textId="77777777" w:rsidTr="00271F6C">
      <w:trPr>
        <w:cantSplit/>
        <w:trHeight w:hRule="exact" w:val="360"/>
      </w:trPr>
      <w:tc>
        <w:tcPr>
          <w:tcW w:w="339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54" w14:textId="77777777" w:rsidR="00E0247A" w:rsidRPr="00E0247A" w:rsidRDefault="00E0247A" w:rsidP="00E0247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55" w14:textId="77777777" w:rsidR="00E0247A" w:rsidRPr="00E0247A" w:rsidRDefault="00B63BCB" w:rsidP="00957688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B01089">
            <w:t>HRP-101</w:t>
          </w:r>
          <w:r>
            <w:fldChar w:fldCharType="end"/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56" w14:textId="03B4DB84" w:rsidR="00E0247A" w:rsidRPr="00E0247A" w:rsidRDefault="00E0247A" w:rsidP="00C15748">
          <w:pPr>
            <w:pStyle w:val="SOPTableItemBold"/>
          </w:pPr>
          <w:r w:rsidRPr="00E0247A">
            <w:t>00</w:t>
          </w:r>
          <w:r w:rsidR="000113C9">
            <w:t>3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78C9DC57" w14:textId="50539D89" w:rsidR="00E0247A" w:rsidRPr="00E0247A" w:rsidRDefault="00217D50" w:rsidP="00C15748">
          <w:pPr>
            <w:pStyle w:val="SOPTableItemBold"/>
          </w:pPr>
          <w:fldSimple w:instr=" COMMENTS   \* MERGEFORMAT ">
            <w:r w:rsidR="00B01089">
              <w:t xml:space="preserve">01 </w:t>
            </w:r>
            <w:r w:rsidR="000113C9">
              <w:t>APR</w:t>
            </w:r>
            <w:r w:rsidR="00B01089">
              <w:t xml:space="preserve"> 202</w:t>
            </w:r>
          </w:fldSimple>
          <w:r w:rsidR="000113C9">
            <w:t>2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9DC58" w14:textId="1BFEC10D" w:rsidR="00E0247A" w:rsidRPr="00E0247A" w:rsidRDefault="00E0247A" w:rsidP="00957688">
          <w:pPr>
            <w:pStyle w:val="SOPTableItemBold"/>
          </w:pPr>
          <w:r w:rsidRPr="00E0247A">
            <w:t xml:space="preserve">Page </w:t>
          </w:r>
          <w:r w:rsidRPr="00E0247A">
            <w:fldChar w:fldCharType="begin"/>
          </w:r>
          <w:r w:rsidRPr="00E0247A">
            <w:instrText xml:space="preserve"> PAGE  \* Arabic  \* MERGEFORMAT </w:instrText>
          </w:r>
          <w:r w:rsidRPr="00E0247A">
            <w:fldChar w:fldCharType="separate"/>
          </w:r>
          <w:r w:rsidR="00B01089">
            <w:t>1</w:t>
          </w:r>
          <w:r w:rsidRPr="00E0247A">
            <w:fldChar w:fldCharType="end"/>
          </w:r>
          <w:r w:rsidRPr="00E0247A">
            <w:t xml:space="preserve"> of </w:t>
          </w:r>
          <w:r w:rsidR="00B63BCB">
            <w:fldChar w:fldCharType="begin"/>
          </w:r>
          <w:r w:rsidR="00B63BCB">
            <w:instrText xml:space="preserve"> NUMPAGES  \* Arabic  \* MERGEFORMAT </w:instrText>
          </w:r>
          <w:r w:rsidR="00B63BCB">
            <w:fldChar w:fldCharType="separate"/>
          </w:r>
          <w:r w:rsidR="00B01089">
            <w:t>3</w:t>
          </w:r>
          <w:r w:rsidR="00B63BCB">
            <w:fldChar w:fldCharType="end"/>
          </w:r>
        </w:p>
      </w:tc>
    </w:tr>
  </w:tbl>
  <w:p w14:paraId="78C9DC5A" w14:textId="08E05B23" w:rsidR="00E0247A" w:rsidRPr="00E0247A" w:rsidRDefault="00E0247A" w:rsidP="00E0247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E0247A">
      <w:rPr>
        <w:rFonts w:ascii="Calibri" w:eastAsia="Calibri" w:hAnsi="Calibri" w:cs="Times New Roman"/>
        <w:sz w:val="2"/>
        <w:szCs w:val="2"/>
      </w:rPr>
      <w:tab/>
    </w:r>
  </w:p>
  <w:p w14:paraId="78C9DC5B" w14:textId="77777777" w:rsidR="00E0247A" w:rsidRPr="00E0247A" w:rsidRDefault="00E0247A" w:rsidP="00E0247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78C9DC5C" w14:textId="77777777" w:rsidR="00E0247A" w:rsidRPr="00E0247A" w:rsidRDefault="00E0247A" w:rsidP="00E0247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78C9DC5D" w14:textId="77777777" w:rsidR="006D21A8" w:rsidRPr="00E0247A" w:rsidRDefault="006D21A8" w:rsidP="00E0247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BCDCCBC-E1AA-4E68-A484-C59ED1352165}"/>
    <w:docVar w:name="dgnword-eventsink" w:val="430987872"/>
  </w:docVars>
  <w:rsids>
    <w:rsidRoot w:val="00E95BBF"/>
    <w:rsid w:val="00005366"/>
    <w:rsid w:val="000113C9"/>
    <w:rsid w:val="00012FB6"/>
    <w:rsid w:val="00016E75"/>
    <w:rsid w:val="00020F58"/>
    <w:rsid w:val="00031B38"/>
    <w:rsid w:val="000329CE"/>
    <w:rsid w:val="0003549C"/>
    <w:rsid w:val="000404B6"/>
    <w:rsid w:val="00064708"/>
    <w:rsid w:val="000752EC"/>
    <w:rsid w:val="000B03D7"/>
    <w:rsid w:val="000D5B18"/>
    <w:rsid w:val="000E1AC8"/>
    <w:rsid w:val="000E3502"/>
    <w:rsid w:val="000F05C5"/>
    <w:rsid w:val="000F2394"/>
    <w:rsid w:val="000F45C5"/>
    <w:rsid w:val="001039BA"/>
    <w:rsid w:val="00114EE1"/>
    <w:rsid w:val="00120CA9"/>
    <w:rsid w:val="001267F3"/>
    <w:rsid w:val="00131199"/>
    <w:rsid w:val="0013294A"/>
    <w:rsid w:val="0013374B"/>
    <w:rsid w:val="001350C3"/>
    <w:rsid w:val="00142988"/>
    <w:rsid w:val="0015198F"/>
    <w:rsid w:val="00173AC2"/>
    <w:rsid w:val="00173CFA"/>
    <w:rsid w:val="00180EAD"/>
    <w:rsid w:val="00192B53"/>
    <w:rsid w:val="00194891"/>
    <w:rsid w:val="001A5A2A"/>
    <w:rsid w:val="001B2264"/>
    <w:rsid w:val="001B51A5"/>
    <w:rsid w:val="001C164F"/>
    <w:rsid w:val="001C3FF9"/>
    <w:rsid w:val="001C443A"/>
    <w:rsid w:val="0020344B"/>
    <w:rsid w:val="002049B4"/>
    <w:rsid w:val="00217D50"/>
    <w:rsid w:val="00223FDC"/>
    <w:rsid w:val="00271F6C"/>
    <w:rsid w:val="0027369B"/>
    <w:rsid w:val="00282D03"/>
    <w:rsid w:val="00291B78"/>
    <w:rsid w:val="00294B3F"/>
    <w:rsid w:val="00296BE1"/>
    <w:rsid w:val="002B5C26"/>
    <w:rsid w:val="002D06A0"/>
    <w:rsid w:val="002D4539"/>
    <w:rsid w:val="002E318D"/>
    <w:rsid w:val="00307170"/>
    <w:rsid w:val="003105FA"/>
    <w:rsid w:val="00332ADF"/>
    <w:rsid w:val="00344FC9"/>
    <w:rsid w:val="0034640D"/>
    <w:rsid w:val="00354910"/>
    <w:rsid w:val="00374415"/>
    <w:rsid w:val="00375A4E"/>
    <w:rsid w:val="003800B0"/>
    <w:rsid w:val="003A26BF"/>
    <w:rsid w:val="003A7F1F"/>
    <w:rsid w:val="003B59CE"/>
    <w:rsid w:val="003D226A"/>
    <w:rsid w:val="003E4AAC"/>
    <w:rsid w:val="003E4CE2"/>
    <w:rsid w:val="003E6344"/>
    <w:rsid w:val="003F0B7E"/>
    <w:rsid w:val="003F2F90"/>
    <w:rsid w:val="004229FC"/>
    <w:rsid w:val="00430CF3"/>
    <w:rsid w:val="004560C2"/>
    <w:rsid w:val="004627D2"/>
    <w:rsid w:val="00493076"/>
    <w:rsid w:val="004B0331"/>
    <w:rsid w:val="004B4D7F"/>
    <w:rsid w:val="004B5D45"/>
    <w:rsid w:val="004C046E"/>
    <w:rsid w:val="004E349B"/>
    <w:rsid w:val="004F2536"/>
    <w:rsid w:val="004F39A3"/>
    <w:rsid w:val="004F7D0C"/>
    <w:rsid w:val="005159E1"/>
    <w:rsid w:val="005405D1"/>
    <w:rsid w:val="0054200F"/>
    <w:rsid w:val="0055668B"/>
    <w:rsid w:val="00563DAB"/>
    <w:rsid w:val="00571E08"/>
    <w:rsid w:val="005922A9"/>
    <w:rsid w:val="00592F8F"/>
    <w:rsid w:val="00597133"/>
    <w:rsid w:val="005B6E88"/>
    <w:rsid w:val="005C55A1"/>
    <w:rsid w:val="005D4C6D"/>
    <w:rsid w:val="005D6164"/>
    <w:rsid w:val="005D7443"/>
    <w:rsid w:val="005E32F9"/>
    <w:rsid w:val="006013BC"/>
    <w:rsid w:val="00611036"/>
    <w:rsid w:val="006147AB"/>
    <w:rsid w:val="00641096"/>
    <w:rsid w:val="00661C12"/>
    <w:rsid w:val="006656DC"/>
    <w:rsid w:val="006664F8"/>
    <w:rsid w:val="00667E43"/>
    <w:rsid w:val="00671E89"/>
    <w:rsid w:val="00685DA2"/>
    <w:rsid w:val="00695A2D"/>
    <w:rsid w:val="006A116B"/>
    <w:rsid w:val="006B16A0"/>
    <w:rsid w:val="006B282C"/>
    <w:rsid w:val="006B415B"/>
    <w:rsid w:val="006D21A8"/>
    <w:rsid w:val="006D2E9A"/>
    <w:rsid w:val="006D48D5"/>
    <w:rsid w:val="006D7056"/>
    <w:rsid w:val="006E2508"/>
    <w:rsid w:val="006F3B6B"/>
    <w:rsid w:val="006F46B3"/>
    <w:rsid w:val="00726394"/>
    <w:rsid w:val="007471DF"/>
    <w:rsid w:val="00750720"/>
    <w:rsid w:val="00757358"/>
    <w:rsid w:val="00774C40"/>
    <w:rsid w:val="00781E68"/>
    <w:rsid w:val="00790F13"/>
    <w:rsid w:val="007D062D"/>
    <w:rsid w:val="007E230F"/>
    <w:rsid w:val="008015F0"/>
    <w:rsid w:val="008053FB"/>
    <w:rsid w:val="00842B43"/>
    <w:rsid w:val="00852EB2"/>
    <w:rsid w:val="00867BF2"/>
    <w:rsid w:val="00873599"/>
    <w:rsid w:val="00892181"/>
    <w:rsid w:val="008C3188"/>
    <w:rsid w:val="008D229E"/>
    <w:rsid w:val="008D250E"/>
    <w:rsid w:val="008E2A12"/>
    <w:rsid w:val="008F7E4C"/>
    <w:rsid w:val="00907067"/>
    <w:rsid w:val="0093159B"/>
    <w:rsid w:val="00935262"/>
    <w:rsid w:val="00956356"/>
    <w:rsid w:val="00957688"/>
    <w:rsid w:val="009717F3"/>
    <w:rsid w:val="00987317"/>
    <w:rsid w:val="00987925"/>
    <w:rsid w:val="009A0A2E"/>
    <w:rsid w:val="009C17B2"/>
    <w:rsid w:val="009C246E"/>
    <w:rsid w:val="009C2950"/>
    <w:rsid w:val="009D0D18"/>
    <w:rsid w:val="009D3DE8"/>
    <w:rsid w:val="009F3D59"/>
    <w:rsid w:val="009F7CEF"/>
    <w:rsid w:val="00A02EDD"/>
    <w:rsid w:val="00A04408"/>
    <w:rsid w:val="00A064C6"/>
    <w:rsid w:val="00A06A4C"/>
    <w:rsid w:val="00A06EB8"/>
    <w:rsid w:val="00A27B73"/>
    <w:rsid w:val="00A4499E"/>
    <w:rsid w:val="00A4717B"/>
    <w:rsid w:val="00A5104A"/>
    <w:rsid w:val="00A524C7"/>
    <w:rsid w:val="00A52829"/>
    <w:rsid w:val="00A538F0"/>
    <w:rsid w:val="00A7790B"/>
    <w:rsid w:val="00A82350"/>
    <w:rsid w:val="00AA0E77"/>
    <w:rsid w:val="00AC69EB"/>
    <w:rsid w:val="00AC6DFD"/>
    <w:rsid w:val="00AD496A"/>
    <w:rsid w:val="00AD66B1"/>
    <w:rsid w:val="00AE037D"/>
    <w:rsid w:val="00AE2E3E"/>
    <w:rsid w:val="00AF24CF"/>
    <w:rsid w:val="00B01089"/>
    <w:rsid w:val="00B04E69"/>
    <w:rsid w:val="00B217A5"/>
    <w:rsid w:val="00B22FEC"/>
    <w:rsid w:val="00B23176"/>
    <w:rsid w:val="00B24138"/>
    <w:rsid w:val="00B30B11"/>
    <w:rsid w:val="00B63BCB"/>
    <w:rsid w:val="00B679E4"/>
    <w:rsid w:val="00B70059"/>
    <w:rsid w:val="00B82628"/>
    <w:rsid w:val="00B96736"/>
    <w:rsid w:val="00BD34D0"/>
    <w:rsid w:val="00BD62CE"/>
    <w:rsid w:val="00BE164D"/>
    <w:rsid w:val="00BE3293"/>
    <w:rsid w:val="00BE784C"/>
    <w:rsid w:val="00BF7355"/>
    <w:rsid w:val="00BF764C"/>
    <w:rsid w:val="00C03042"/>
    <w:rsid w:val="00C136B2"/>
    <w:rsid w:val="00C15748"/>
    <w:rsid w:val="00C164FC"/>
    <w:rsid w:val="00C207B4"/>
    <w:rsid w:val="00C33B73"/>
    <w:rsid w:val="00C349EE"/>
    <w:rsid w:val="00C36FC5"/>
    <w:rsid w:val="00C4573B"/>
    <w:rsid w:val="00C53503"/>
    <w:rsid w:val="00C53636"/>
    <w:rsid w:val="00C80B47"/>
    <w:rsid w:val="00C91AFB"/>
    <w:rsid w:val="00C94BFC"/>
    <w:rsid w:val="00CB7171"/>
    <w:rsid w:val="00CB7837"/>
    <w:rsid w:val="00CD08C0"/>
    <w:rsid w:val="00CE3E02"/>
    <w:rsid w:val="00CE702A"/>
    <w:rsid w:val="00CF6AEF"/>
    <w:rsid w:val="00D25A90"/>
    <w:rsid w:val="00D364C0"/>
    <w:rsid w:val="00D37174"/>
    <w:rsid w:val="00D514F0"/>
    <w:rsid w:val="00D565CD"/>
    <w:rsid w:val="00D655F0"/>
    <w:rsid w:val="00D83094"/>
    <w:rsid w:val="00D944D0"/>
    <w:rsid w:val="00DA20BA"/>
    <w:rsid w:val="00DB3C86"/>
    <w:rsid w:val="00DD2A9E"/>
    <w:rsid w:val="00DD4EE3"/>
    <w:rsid w:val="00DF2C9C"/>
    <w:rsid w:val="00E00D6A"/>
    <w:rsid w:val="00E021FA"/>
    <w:rsid w:val="00E0247A"/>
    <w:rsid w:val="00E07D5E"/>
    <w:rsid w:val="00E11E82"/>
    <w:rsid w:val="00E843EC"/>
    <w:rsid w:val="00E8719A"/>
    <w:rsid w:val="00E95BBF"/>
    <w:rsid w:val="00EA2C78"/>
    <w:rsid w:val="00EA3EF1"/>
    <w:rsid w:val="00EB2241"/>
    <w:rsid w:val="00EC2BF6"/>
    <w:rsid w:val="00EE1C47"/>
    <w:rsid w:val="00EE29ED"/>
    <w:rsid w:val="00F20D25"/>
    <w:rsid w:val="00F60EC4"/>
    <w:rsid w:val="00F63355"/>
    <w:rsid w:val="00F65A07"/>
    <w:rsid w:val="00F7198F"/>
    <w:rsid w:val="00F754F1"/>
    <w:rsid w:val="00F876EC"/>
    <w:rsid w:val="00FB3BB7"/>
    <w:rsid w:val="00FC650A"/>
    <w:rsid w:val="00FC67FF"/>
    <w:rsid w:val="00FD4C49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9DC10"/>
  <w15:docId w15:val="{0C7F0B06-42B4-4175-9DCE-A6876C0C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3F2F90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3F2F90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3F2F90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3F2F90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3F2F90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3F2F90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F2F90"/>
    <w:pPr>
      <w:ind w:left="720"/>
      <w:contextualSpacing/>
    </w:pPr>
  </w:style>
  <w:style w:type="paragraph" w:customStyle="1" w:styleId="SOPLevel1">
    <w:name w:val="SOP Level 1"/>
    <w:basedOn w:val="SOPBasis"/>
    <w:qFormat/>
    <w:rsid w:val="003F2F90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3F2F90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3F2F90"/>
    <w:pPr>
      <w:numPr>
        <w:ilvl w:val="2"/>
        <w:numId w:val="9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FB3BB7"/>
    <w:pPr>
      <w:numPr>
        <w:ilvl w:val="3"/>
        <w:numId w:val="9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qFormat/>
    <w:rsid w:val="00FB3BB7"/>
    <w:pPr>
      <w:numPr>
        <w:ilvl w:val="4"/>
        <w:numId w:val="9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3F2F90"/>
    <w:pPr>
      <w:numPr>
        <w:ilvl w:val="5"/>
        <w:numId w:val="9"/>
      </w:numPr>
      <w:tabs>
        <w:tab w:val="clear" w:pos="4608"/>
      </w:tabs>
      <w:spacing w:before="120" w:after="120"/>
      <w:ind w:left="5184" w:hanging="1152"/>
      <w:contextualSpacing/>
    </w:pPr>
  </w:style>
  <w:style w:type="paragraph" w:customStyle="1" w:styleId="SOPFooter">
    <w:name w:val="SOP Footer"/>
    <w:basedOn w:val="SOPBasis"/>
    <w:autoRedefine/>
    <w:qFormat/>
    <w:rsid w:val="003F2F90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3F2F90"/>
  </w:style>
  <w:style w:type="character" w:customStyle="1" w:styleId="SOPDefinition">
    <w:name w:val="SOP Definition"/>
    <w:basedOn w:val="SOPDefault"/>
    <w:uiPriority w:val="1"/>
    <w:qFormat/>
    <w:rsid w:val="003F2F90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64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64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64C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02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3F2F90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666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2" ma:contentTypeDescription="Create a new document." ma:contentTypeScope="" ma:versionID="4d537ae526c2cb85f620adf59a49f28f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ef654bdd426ddf0b546f107e726a9ef4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74CA6-49FD-4EA2-8B0D-495BB384DB39}"/>
</file>

<file path=customXml/itemProps2.xml><?xml version="1.0" encoding="utf-8"?>
<ds:datastoreItem xmlns:ds="http://schemas.openxmlformats.org/officeDocument/2006/customXml" ds:itemID="{C45F5F0D-9BD9-402A-B0BA-53CE98DE3E04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7C2BF8F8-D8A8-4E49-8071-ACA21C3C9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A15CF5-2D04-486A-8624-C99C41601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Regulatory Review</vt:lpstr>
    </vt:vector>
  </TitlesOfParts>
  <Company>Copyright © 2019 WIRB-Copernicus Group. All rights reserved.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Regulatory Review</dc:title>
  <dc:subject>HRP-101</dc:subject>
  <dc:creator>Jeffrey A. Cooper, MD, MMM</dc:creator>
  <dc:description>01 APR 2022</dc:description>
  <cp:lastModifiedBy>David M Comalli</cp:lastModifiedBy>
  <cp:revision>6</cp:revision>
  <dcterms:created xsi:type="dcterms:W3CDTF">2020-04-08T18:00:00Z</dcterms:created>
  <dcterms:modified xsi:type="dcterms:W3CDTF">2022-03-17T16:09:00Z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4100</vt:r8>
  </property>
  <property fmtid="{D5CDD505-2E9C-101B-9397-08002B2CF9AE}" pid="3" name="ContentTypeId">
    <vt:lpwstr>0x010100FA3106C0D91A1140A2CB07EBA4606A82</vt:lpwstr>
  </property>
</Properties>
</file>