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B391" w14:textId="77777777" w:rsidR="00001CEC" w:rsidRPr="00F20894" w:rsidRDefault="00001CEC" w:rsidP="00001CEC">
      <w:pPr>
        <w:pStyle w:val="SOPLevel1"/>
        <w:numPr>
          <w:ilvl w:val="0"/>
          <w:numId w:val="2"/>
        </w:numPr>
      </w:pPr>
      <w:r w:rsidRPr="00F20894">
        <w:t>PURPOSE</w:t>
      </w:r>
    </w:p>
    <w:p w14:paraId="07D1D3E9" w14:textId="1BC6CEFF" w:rsidR="00955F68" w:rsidRDefault="00955F68" w:rsidP="00955F68">
      <w:pPr>
        <w:pStyle w:val="SOPLevel2"/>
        <w:numPr>
          <w:ilvl w:val="1"/>
          <w:numId w:val="2"/>
        </w:numPr>
      </w:pPr>
      <w:r w:rsidRPr="00F20894">
        <w:t xml:space="preserve">This </w:t>
      </w:r>
      <w:r>
        <w:t>policy</w:t>
      </w:r>
      <w:r w:rsidRPr="00F20894">
        <w:t xml:space="preserve"> </w:t>
      </w:r>
      <w:r>
        <w:t>describes</w:t>
      </w:r>
      <w:r w:rsidRPr="00F20894">
        <w:t xml:space="preserve"> </w:t>
      </w:r>
      <w:r>
        <w:t>the information investigators must promptly report to the [Organization’s] local IRB when the research is subject to oversight by the [Organization’s] local IRB.</w:t>
      </w:r>
      <w:r w:rsidRPr="00E8420B">
        <w:t xml:space="preserve"> </w:t>
      </w:r>
      <w:bookmarkStart w:id="0" w:name="_GoBack"/>
      <w:bookmarkEnd w:id="0"/>
    </w:p>
    <w:p w14:paraId="17BB3E28" w14:textId="77777777" w:rsidR="00955F68" w:rsidRPr="008F1FCE" w:rsidRDefault="00955F68" w:rsidP="00955F68">
      <w:pPr>
        <w:pStyle w:val="SOPLevel2"/>
        <w:numPr>
          <w:ilvl w:val="1"/>
          <w:numId w:val="2"/>
        </w:numPr>
      </w:pPr>
      <w:r>
        <w:t>For research overseen by</w:t>
      </w:r>
      <w:r w:rsidRPr="008F1FCE">
        <w:t xml:space="preserve"> </w:t>
      </w:r>
      <w:r>
        <w:t>an IRB other than [Organization’s] local IRB, investigators should follow the requirements of that IRB.</w:t>
      </w:r>
    </w:p>
    <w:p w14:paraId="28B8E9A9" w14:textId="79979A9D" w:rsidR="00001CEC" w:rsidRDefault="00B223B0" w:rsidP="00001CEC">
      <w:pPr>
        <w:pStyle w:val="SOPLevel1"/>
        <w:numPr>
          <w:ilvl w:val="0"/>
          <w:numId w:val="2"/>
        </w:numPr>
      </w:pPr>
      <w:r>
        <w:t>POLICY</w:t>
      </w:r>
    </w:p>
    <w:p w14:paraId="58E8C08D" w14:textId="77777777" w:rsidR="00001CEC" w:rsidRDefault="00001CEC" w:rsidP="00001CEC">
      <w:pPr>
        <w:pStyle w:val="SOPLevel2"/>
        <w:numPr>
          <w:ilvl w:val="1"/>
          <w:numId w:val="2"/>
        </w:numPr>
      </w:pPr>
      <w:r>
        <w:t>Report the following information items to the IRB within 5 days:</w:t>
      </w:r>
    </w:p>
    <w:p w14:paraId="3C671076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New or increased risk</w:t>
      </w:r>
      <w:r w:rsidRPr="00FF3DC6">
        <w:rPr>
          <w:rStyle w:val="FootnoteReference"/>
        </w:rPr>
        <w:footnoteReference w:id="2"/>
      </w:r>
    </w:p>
    <w:p w14:paraId="58EF4DB1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Protocol deviation that harmed a subject or placed subject at risk of harm</w:t>
      </w:r>
    </w:p>
    <w:p w14:paraId="6F845C6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Protocol deviation made without prior IRB approval to eliminate an immediate hazard to a subject</w:t>
      </w:r>
    </w:p>
    <w:p w14:paraId="23670F1E" w14:textId="77777777" w:rsidR="00955F68" w:rsidRDefault="00955F68" w:rsidP="00955F68">
      <w:pPr>
        <w:pStyle w:val="SOPLevel3"/>
        <w:numPr>
          <w:ilvl w:val="2"/>
          <w:numId w:val="2"/>
        </w:numPr>
      </w:pPr>
      <w:r>
        <w:t>Protocol deviation due to the action or inaction of the investigator or research staff</w:t>
      </w:r>
    </w:p>
    <w:p w14:paraId="43DB060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Audit, inspection, or inquiry by a federal agency</w:t>
      </w:r>
    </w:p>
    <w:p w14:paraId="4484517B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Written report or action of a government agency, regarding the research, the PI, or the research staff, or if research staff are added, a past history of such report or action, including:</w:t>
      </w:r>
    </w:p>
    <w:p w14:paraId="2336A1F8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Conviction of a crime</w:t>
      </w:r>
    </w:p>
    <w:p w14:paraId="01F0691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FDA Warning Letter</w:t>
      </w:r>
    </w:p>
    <w:p w14:paraId="7EFD0B9E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NIDPOE (Noticed of Initiation of Disqualification Proceedings and Opportunity to Explain)</w:t>
      </w:r>
    </w:p>
    <w:p w14:paraId="4CB3B24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Suspension or termination by an IRB</w:t>
      </w:r>
    </w:p>
    <w:p w14:paraId="24CBEECB" w14:textId="2D8A35CA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Suspension by a federal or governmental agency (such as FDA, HHS, or Health Canada)</w:t>
      </w:r>
    </w:p>
    <w:p w14:paraId="3E94ABC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OHRP Determination Letter, Health Canada Inspection Letter with observations, or similar</w:t>
      </w:r>
    </w:p>
    <w:p w14:paraId="688EB673" w14:textId="2A3E4BD8" w:rsidR="00955F68" w:rsidRPr="00FF3DC6" w:rsidRDefault="00955F68" w:rsidP="004D3A40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Form FDA 483 in the past 5 years</w:t>
      </w:r>
    </w:p>
    <w:p w14:paraId="45FA4CB8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&lt;Allegation of Noncompliance&gt; or &lt;Finding of Noncompliance&gt;</w:t>
      </w:r>
    </w:p>
    <w:p w14:paraId="2E5DFABF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Unauthorized disclosure of confidential information</w:t>
      </w:r>
    </w:p>
    <w:p w14:paraId="66694B4C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>
        <w:t>Unresolved s</w:t>
      </w:r>
      <w:r w:rsidRPr="00FF3DC6">
        <w:t>ubject complaint</w:t>
      </w:r>
    </w:p>
    <w:p w14:paraId="707AA19C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Suspension or premature termination by the sponsor, investigator, or institution</w:t>
      </w:r>
    </w:p>
    <w:p w14:paraId="2B96D94E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Incarceration of a subject in a research study not approved to involve prisoners</w:t>
      </w:r>
    </w:p>
    <w:p w14:paraId="551B5416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 xml:space="preserve">Adverse event or IND safety report that requires a protocol or consent change </w:t>
      </w:r>
    </w:p>
    <w:p w14:paraId="1475A62A" w14:textId="77777777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State medical board or hospital medical staff actions, (denial, revocation, suspension, reduction, limitation, probation, non-renewal, relinquishment, sanction, fine, or discipline) regarding any of the following for the PI or research staff, or if research staff are added, a past history of such action:</w:t>
      </w:r>
    </w:p>
    <w:p w14:paraId="00744864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Clinical privileges at any site</w:t>
      </w:r>
    </w:p>
    <w:p w14:paraId="0809E179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DEA licensure</w:t>
      </w:r>
    </w:p>
    <w:p w14:paraId="7E1B9AD3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Fellowship/board certification</w:t>
      </w:r>
    </w:p>
    <w:p w14:paraId="040F7B04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Medical licensure in any state, nation, or province</w:t>
      </w:r>
    </w:p>
    <w:p w14:paraId="60EF08F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Membership on any hospital staff</w:t>
      </w:r>
    </w:p>
    <w:p w14:paraId="4D37D4A1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Prescribing privileges</w:t>
      </w:r>
    </w:p>
    <w:p w14:paraId="71E509B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Professional sanctions including fines and public reprimands</w:t>
      </w:r>
    </w:p>
    <w:p w14:paraId="7AB29A87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lastRenderedPageBreak/>
        <w:t>Professional society membership</w:t>
      </w:r>
    </w:p>
    <w:p w14:paraId="30DF205C" w14:textId="77777777" w:rsidR="00955F68" w:rsidRPr="00FF3DC6" w:rsidRDefault="00955F68" w:rsidP="00955F68">
      <w:pPr>
        <w:pStyle w:val="SOPLevel4"/>
        <w:numPr>
          <w:ilvl w:val="3"/>
          <w:numId w:val="2"/>
        </w:numPr>
        <w:tabs>
          <w:tab w:val="clear" w:pos="2016"/>
        </w:tabs>
        <w:ind w:left="2880" w:hanging="864"/>
      </w:pPr>
      <w:r w:rsidRPr="00FF3DC6">
        <w:t>Research privileges at any site</w:t>
      </w:r>
    </w:p>
    <w:p w14:paraId="7AE931E0" w14:textId="19990BAD" w:rsidR="00955F68" w:rsidRDefault="00955F68" w:rsidP="00955F68">
      <w:pPr>
        <w:pStyle w:val="SOPLevel3"/>
        <w:numPr>
          <w:ilvl w:val="2"/>
          <w:numId w:val="2"/>
        </w:numPr>
      </w:pPr>
      <w:r>
        <w:t>Unanticipated adverse device effect</w:t>
      </w:r>
      <w:r w:rsidR="004D3A40">
        <w:rPr>
          <w:rStyle w:val="FootnoteReference"/>
        </w:rPr>
        <w:footnoteReference w:customMarkFollows="1" w:id="3"/>
        <w:t>2</w:t>
      </w:r>
    </w:p>
    <w:p w14:paraId="118E232B" w14:textId="77777777" w:rsidR="00955F68" w:rsidRDefault="00955F68" w:rsidP="00955F68">
      <w:pPr>
        <w:pStyle w:val="SOPLevel3"/>
        <w:numPr>
          <w:ilvl w:val="2"/>
          <w:numId w:val="2"/>
        </w:numPr>
      </w:pPr>
      <w:r>
        <w:t>Written report of a study monitor</w:t>
      </w:r>
    </w:p>
    <w:p w14:paraId="5F2B5104" w14:textId="2B7FDC40" w:rsidR="00955F68" w:rsidRPr="00FF3DC6" w:rsidRDefault="00955F68" w:rsidP="00955F68">
      <w:pPr>
        <w:pStyle w:val="SOPLevel3"/>
        <w:numPr>
          <w:ilvl w:val="2"/>
          <w:numId w:val="2"/>
        </w:numPr>
      </w:pPr>
      <w:r w:rsidRPr="00FF3DC6">
        <w:t>Change i</w:t>
      </w:r>
      <w:r>
        <w:t>n financial interest disclosure (submit as a modification)</w:t>
      </w:r>
    </w:p>
    <w:p w14:paraId="6BB338A2" w14:textId="5CBF915F" w:rsidR="00955F68" w:rsidRDefault="00955F68" w:rsidP="00955F68">
      <w:pPr>
        <w:pStyle w:val="SOPLevel3"/>
        <w:numPr>
          <w:ilvl w:val="2"/>
          <w:numId w:val="2"/>
        </w:numPr>
      </w:pPr>
      <w:r>
        <w:t>Change in any other information previously submitted to the IRB (submit as a modification)</w:t>
      </w:r>
    </w:p>
    <w:p w14:paraId="61A297AD" w14:textId="2FAD4F58" w:rsidR="00001CEC" w:rsidRDefault="00001CEC" w:rsidP="00001CEC">
      <w:pPr>
        <w:pStyle w:val="SOPLevel2"/>
        <w:numPr>
          <w:ilvl w:val="1"/>
          <w:numId w:val="2"/>
        </w:numPr>
      </w:pPr>
      <w:r w:rsidRPr="001C0B79">
        <w:t xml:space="preserve">Information not listed </w:t>
      </w:r>
      <w:r>
        <w:t>above</w:t>
      </w:r>
      <w:r w:rsidRPr="001C0B79">
        <w:t xml:space="preserve"> does not require prompt reporting to </w:t>
      </w:r>
      <w:r>
        <w:t>the [Organization’s] IRB</w:t>
      </w:r>
      <w:r w:rsidRPr="001C0B79">
        <w:t>.</w:t>
      </w:r>
    </w:p>
    <w:p w14:paraId="35A1A1C3" w14:textId="77777777" w:rsidR="00001CEC" w:rsidRPr="00F20894" w:rsidRDefault="00001CEC" w:rsidP="00001CEC">
      <w:pPr>
        <w:pStyle w:val="SOPLevel1"/>
        <w:numPr>
          <w:ilvl w:val="0"/>
          <w:numId w:val="2"/>
        </w:numPr>
      </w:pPr>
      <w:r w:rsidRPr="00F20894">
        <w:t>REFERENCES</w:t>
      </w:r>
    </w:p>
    <w:p w14:paraId="14C78E7C" w14:textId="77777777" w:rsidR="00001CEC" w:rsidRDefault="00001CEC" w:rsidP="00001CEC">
      <w:pPr>
        <w:pStyle w:val="SOPLevel2"/>
        <w:numPr>
          <w:ilvl w:val="1"/>
          <w:numId w:val="2"/>
        </w:numPr>
      </w:pPr>
      <w:r>
        <w:t>21 CFR §56.108(b)</w:t>
      </w:r>
    </w:p>
    <w:p w14:paraId="033EAD4D" w14:textId="19A3EA3E" w:rsidR="00266C1B" w:rsidRPr="00001CEC" w:rsidRDefault="00001CEC" w:rsidP="00001CEC">
      <w:pPr>
        <w:pStyle w:val="SOPLevel2"/>
        <w:numPr>
          <w:ilvl w:val="1"/>
          <w:numId w:val="2"/>
        </w:numPr>
      </w:pPr>
      <w:r>
        <w:t>45 CFR §46.10</w:t>
      </w:r>
      <w:r w:rsidR="00F723A6">
        <w:t>7</w:t>
      </w:r>
      <w:r>
        <w:t>(</w:t>
      </w:r>
      <w:r w:rsidR="00F723A6">
        <w:t>a</w:t>
      </w:r>
      <w:r>
        <w:t>)(</w:t>
      </w:r>
      <w:r w:rsidR="00F723A6">
        <w:t>4</w:t>
      </w:r>
      <w:r>
        <w:t>)</w:t>
      </w:r>
    </w:p>
    <w:sectPr w:rsidR="00266C1B" w:rsidRPr="00001CEC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1B7BA" w14:textId="77777777" w:rsidR="00BC2BE5" w:rsidRDefault="00BC2BE5" w:rsidP="0093159B">
      <w:pPr>
        <w:spacing w:after="0" w:line="240" w:lineRule="auto"/>
      </w:pPr>
      <w:r>
        <w:separator/>
      </w:r>
    </w:p>
  </w:endnote>
  <w:endnote w:type="continuationSeparator" w:id="0">
    <w:p w14:paraId="76D870C7" w14:textId="77777777" w:rsidR="00BC2BE5" w:rsidRDefault="00BC2BE5" w:rsidP="0093159B">
      <w:pPr>
        <w:spacing w:after="0" w:line="240" w:lineRule="auto"/>
      </w:pPr>
      <w:r>
        <w:continuationSeparator/>
      </w:r>
    </w:p>
  </w:endnote>
  <w:endnote w:type="continuationNotice" w:id="1">
    <w:p w14:paraId="003D8B18" w14:textId="77777777" w:rsidR="00BC2BE5" w:rsidRDefault="00BC2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1159F" w14:textId="77777777" w:rsidR="008148F5" w:rsidRDefault="00814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EAD66" w14:textId="25C3AEBB" w:rsidR="00956356" w:rsidRPr="00491BD2" w:rsidRDefault="001844E3" w:rsidP="00491BD2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A6986" w14:textId="77777777" w:rsidR="008148F5" w:rsidRDefault="00814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6254" w14:textId="77777777" w:rsidR="00BC2BE5" w:rsidRDefault="00BC2BE5" w:rsidP="0093159B">
      <w:pPr>
        <w:spacing w:after="0" w:line="240" w:lineRule="auto"/>
      </w:pPr>
      <w:r>
        <w:separator/>
      </w:r>
    </w:p>
  </w:footnote>
  <w:footnote w:type="continuationSeparator" w:id="0">
    <w:p w14:paraId="3ED31172" w14:textId="77777777" w:rsidR="00BC2BE5" w:rsidRDefault="00BC2BE5" w:rsidP="0093159B">
      <w:pPr>
        <w:spacing w:after="0" w:line="240" w:lineRule="auto"/>
      </w:pPr>
      <w:r>
        <w:continuationSeparator/>
      </w:r>
    </w:p>
  </w:footnote>
  <w:footnote w:type="continuationNotice" w:id="1">
    <w:p w14:paraId="3B514B52" w14:textId="77777777" w:rsidR="00BC2BE5" w:rsidRDefault="00BC2BE5">
      <w:pPr>
        <w:spacing w:after="0" w:line="240" w:lineRule="auto"/>
      </w:pPr>
    </w:p>
  </w:footnote>
  <w:footnote w:id="2">
    <w:p w14:paraId="105DF49D" w14:textId="77777777" w:rsidR="00955F68" w:rsidRDefault="00955F68" w:rsidP="00955F68">
      <w:pPr>
        <w:pStyle w:val="FootnoteText"/>
      </w:pPr>
      <w:r>
        <w:rPr>
          <w:rStyle w:val="FootnoteReference"/>
        </w:rPr>
        <w:footnoteRef/>
      </w:r>
      <w:r>
        <w:t xml:space="preserve"> For example, publications indicating a new risk, new risk in an investigator brochure, FDA black box warning, new risk identified in a data safety monitoring report, information or change that adversely affects subject safety, or information or change that adversely affects the conduct of the research.</w:t>
      </w:r>
    </w:p>
  </w:footnote>
  <w:footnote w:id="3">
    <w:p w14:paraId="72BB6184" w14:textId="0293DD83" w:rsidR="004D3A40" w:rsidRDefault="004D3A40" w:rsidP="00955F68">
      <w:pPr>
        <w:pStyle w:val="FootnoteText"/>
      </w:pPr>
      <w:r>
        <w:rPr>
          <w:rStyle w:val="FootnoteReference"/>
        </w:rPr>
        <w:t>2</w:t>
      </w:r>
      <w:r>
        <w:t xml:space="preserve"> Unanticipated adverse device effect means 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D1C1" w14:textId="77777777" w:rsidR="008148F5" w:rsidRDefault="00814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126F8" w14:paraId="033EAD55" w14:textId="77777777" w:rsidTr="008148F5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33EAD53" w14:textId="5273DBC0" w:rsidR="006126F8" w:rsidRPr="0071055B" w:rsidRDefault="008148F5" w:rsidP="00810F51">
          <w:pPr>
            <w:pStyle w:val="Imag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1C223A6" wp14:editId="2DBC3C62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vAlign w:val="center"/>
        </w:tcPr>
        <w:p w14:paraId="033EAD54" w14:textId="77777777" w:rsidR="006126F8" w:rsidRPr="00956356" w:rsidRDefault="00BC2BE5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5225E">
            <w:t>POLICY: Prompt Reporting Requirements</w:t>
          </w:r>
          <w:r>
            <w:fldChar w:fldCharType="end"/>
          </w:r>
        </w:p>
      </w:tc>
    </w:tr>
    <w:tr w:rsidR="006126F8" w14:paraId="033EAD5B" w14:textId="77777777" w:rsidTr="008148F5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033EAD56" w14:textId="77777777" w:rsidR="006126F8" w:rsidRDefault="006126F8" w:rsidP="00810F51">
          <w:pPr>
            <w:pStyle w:val="SOPBasis"/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033EAD57" w14:textId="77777777" w:rsidR="006126F8" w:rsidRDefault="006126F8" w:rsidP="00810F51">
          <w:pPr>
            <w:pStyle w:val="SOPTableHeader"/>
          </w:pPr>
          <w:r w:rsidRPr="001A5A2A"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033EAD58" w14:textId="77777777" w:rsidR="006126F8" w:rsidRDefault="006126F8" w:rsidP="00810F51">
          <w:pPr>
            <w:pStyle w:val="SOPTableHeader"/>
          </w:pPr>
          <w:r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033EAD59" w14:textId="77777777" w:rsidR="006126F8" w:rsidRDefault="006126F8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033EAD5A" w14:textId="77777777" w:rsidR="006126F8" w:rsidRPr="006D2E9A" w:rsidRDefault="006126F8" w:rsidP="00810F51">
          <w:pPr>
            <w:pStyle w:val="SOPTableHeader"/>
          </w:pPr>
          <w:r>
            <w:t>Page:</w:t>
          </w:r>
        </w:p>
      </w:tc>
    </w:tr>
    <w:tr w:rsidR="006126F8" w14:paraId="033EAD61" w14:textId="77777777" w:rsidTr="008148F5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033EAD5C" w14:textId="77777777" w:rsidR="006126F8" w:rsidRDefault="006126F8" w:rsidP="00810F51">
          <w:pPr>
            <w:pStyle w:val="SOPBasis"/>
          </w:pPr>
        </w:p>
      </w:tc>
      <w:tc>
        <w:tcPr>
          <w:tcW w:w="1489" w:type="dxa"/>
          <w:vAlign w:val="center"/>
        </w:tcPr>
        <w:p w14:paraId="033EAD5D" w14:textId="77777777" w:rsidR="006126F8" w:rsidRPr="00332ADF" w:rsidRDefault="00BC2BE5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5225E">
            <w:t>HRP-071</w:t>
          </w:r>
          <w:r>
            <w:fldChar w:fldCharType="end"/>
          </w:r>
        </w:p>
      </w:tc>
      <w:tc>
        <w:tcPr>
          <w:tcW w:w="1489" w:type="dxa"/>
          <w:vAlign w:val="center"/>
        </w:tcPr>
        <w:p w14:paraId="033EAD5E" w14:textId="40190AF9" w:rsidR="006126F8" w:rsidRPr="00332ADF" w:rsidRDefault="004D3A40" w:rsidP="00810F51">
          <w:pPr>
            <w:pStyle w:val="SOPTableItemBold"/>
          </w:pPr>
          <w:r>
            <w:t>002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033EAD5F" w14:textId="49132996" w:rsidR="006126F8" w:rsidRPr="00332ADF" w:rsidRDefault="00D13BFC" w:rsidP="004D3A40">
          <w:pPr>
            <w:pStyle w:val="SOPTableItemBold"/>
          </w:pPr>
          <w:fldSimple w:instr=" COMMENTS   \* MERGEFORMAT ">
            <w:r w:rsidR="0055225E">
              <w:t>01 MAY 2020</w:t>
            </w:r>
          </w:fldSimple>
        </w:p>
      </w:tc>
      <w:tc>
        <w:tcPr>
          <w:tcW w:w="1489" w:type="dxa"/>
          <w:vAlign w:val="center"/>
        </w:tcPr>
        <w:p w14:paraId="033EAD60" w14:textId="49B406E6" w:rsidR="006126F8" w:rsidRPr="00332ADF" w:rsidRDefault="006126F8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5225E">
            <w:t>2</w:t>
          </w:r>
          <w:r>
            <w:fldChar w:fldCharType="end"/>
          </w:r>
          <w:r>
            <w:t xml:space="preserve"> of </w:t>
          </w:r>
          <w:r w:rsidR="00BC2BE5">
            <w:fldChar w:fldCharType="begin"/>
          </w:r>
          <w:r w:rsidR="00BC2BE5">
            <w:instrText xml:space="preserve"> NUMPAGES  \* Arabic  \* MERGEFORMAT </w:instrText>
          </w:r>
          <w:r w:rsidR="00BC2BE5">
            <w:fldChar w:fldCharType="separate"/>
          </w:r>
          <w:r w:rsidR="0055225E">
            <w:t>2</w:t>
          </w:r>
          <w:r w:rsidR="00BC2BE5">
            <w:fldChar w:fldCharType="end"/>
          </w:r>
        </w:p>
      </w:tc>
    </w:tr>
  </w:tbl>
  <w:p w14:paraId="033EAD62" w14:textId="70AE6DD7" w:rsidR="006126F8" w:rsidRPr="00956356" w:rsidRDefault="006126F8" w:rsidP="006126F8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033EAD63" w14:textId="77777777" w:rsidR="006126F8" w:rsidRPr="004379C4" w:rsidRDefault="006126F8" w:rsidP="006126F8">
    <w:pPr>
      <w:pStyle w:val="Header"/>
      <w:rPr>
        <w:sz w:val="2"/>
        <w:szCs w:val="2"/>
      </w:rPr>
    </w:pPr>
  </w:p>
  <w:p w14:paraId="033EAD64" w14:textId="77777777" w:rsidR="006D21A8" w:rsidRPr="006126F8" w:rsidRDefault="006D21A8" w:rsidP="006126F8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6CBD8" w14:textId="77777777" w:rsidR="008148F5" w:rsidRDefault="008148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43E38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19A5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8E06F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E79DB31-65BE-45BC-8B39-56BE3C2E5AAE}"/>
    <w:docVar w:name="dgnword-eventsink" w:val="97140632"/>
  </w:docVars>
  <w:rsids>
    <w:rsidRoot w:val="00E95BBF"/>
    <w:rsid w:val="000008E8"/>
    <w:rsid w:val="00001CEC"/>
    <w:rsid w:val="00002D18"/>
    <w:rsid w:val="000063DE"/>
    <w:rsid w:val="0002168F"/>
    <w:rsid w:val="000257BE"/>
    <w:rsid w:val="0003134E"/>
    <w:rsid w:val="000404B6"/>
    <w:rsid w:val="00043045"/>
    <w:rsid w:val="00043C56"/>
    <w:rsid w:val="00044664"/>
    <w:rsid w:val="00061CCC"/>
    <w:rsid w:val="00064708"/>
    <w:rsid w:val="000675BD"/>
    <w:rsid w:val="00070C18"/>
    <w:rsid w:val="00086008"/>
    <w:rsid w:val="000D421E"/>
    <w:rsid w:val="000D6ED2"/>
    <w:rsid w:val="000E1AC8"/>
    <w:rsid w:val="000F4E1B"/>
    <w:rsid w:val="000F745E"/>
    <w:rsid w:val="001019F8"/>
    <w:rsid w:val="00113386"/>
    <w:rsid w:val="00114B32"/>
    <w:rsid w:val="00124AD0"/>
    <w:rsid w:val="0013697C"/>
    <w:rsid w:val="001563A9"/>
    <w:rsid w:val="00160484"/>
    <w:rsid w:val="00164AA8"/>
    <w:rsid w:val="00164ED3"/>
    <w:rsid w:val="00170BA7"/>
    <w:rsid w:val="00171DBC"/>
    <w:rsid w:val="00173CFA"/>
    <w:rsid w:val="001744F9"/>
    <w:rsid w:val="0017535A"/>
    <w:rsid w:val="001844E3"/>
    <w:rsid w:val="00187013"/>
    <w:rsid w:val="00196317"/>
    <w:rsid w:val="001A5A2A"/>
    <w:rsid w:val="001B2264"/>
    <w:rsid w:val="001B5690"/>
    <w:rsid w:val="001C0B79"/>
    <w:rsid w:val="001C1338"/>
    <w:rsid w:val="001C3FF9"/>
    <w:rsid w:val="001D71DE"/>
    <w:rsid w:val="001F1F1A"/>
    <w:rsid w:val="001F30FE"/>
    <w:rsid w:val="0020344B"/>
    <w:rsid w:val="00204E6E"/>
    <w:rsid w:val="00261340"/>
    <w:rsid w:val="0026501F"/>
    <w:rsid w:val="00266C1B"/>
    <w:rsid w:val="00270836"/>
    <w:rsid w:val="00282D03"/>
    <w:rsid w:val="002A0850"/>
    <w:rsid w:val="002A33D3"/>
    <w:rsid w:val="002B70A7"/>
    <w:rsid w:val="002C7CFA"/>
    <w:rsid w:val="002E10BD"/>
    <w:rsid w:val="002E318D"/>
    <w:rsid w:val="002E7B68"/>
    <w:rsid w:val="002F2773"/>
    <w:rsid w:val="003105FA"/>
    <w:rsid w:val="00321F2E"/>
    <w:rsid w:val="003229F7"/>
    <w:rsid w:val="00332ADF"/>
    <w:rsid w:val="00335CE3"/>
    <w:rsid w:val="00336C2A"/>
    <w:rsid w:val="003421FB"/>
    <w:rsid w:val="00354910"/>
    <w:rsid w:val="0036157C"/>
    <w:rsid w:val="003664A8"/>
    <w:rsid w:val="003941B2"/>
    <w:rsid w:val="003A5246"/>
    <w:rsid w:val="003A7F1F"/>
    <w:rsid w:val="003C6BDC"/>
    <w:rsid w:val="003D226A"/>
    <w:rsid w:val="003D3D78"/>
    <w:rsid w:val="003F2201"/>
    <w:rsid w:val="00411BBC"/>
    <w:rsid w:val="004449FE"/>
    <w:rsid w:val="00445864"/>
    <w:rsid w:val="00447D89"/>
    <w:rsid w:val="00466236"/>
    <w:rsid w:val="00471283"/>
    <w:rsid w:val="00474599"/>
    <w:rsid w:val="00491BD2"/>
    <w:rsid w:val="00494E79"/>
    <w:rsid w:val="004A09DF"/>
    <w:rsid w:val="004B65CB"/>
    <w:rsid w:val="004C13B4"/>
    <w:rsid w:val="004D23E2"/>
    <w:rsid w:val="004D3A40"/>
    <w:rsid w:val="004E0677"/>
    <w:rsid w:val="004E44D2"/>
    <w:rsid w:val="004F4CE1"/>
    <w:rsid w:val="004F7D0C"/>
    <w:rsid w:val="00515885"/>
    <w:rsid w:val="00516C8A"/>
    <w:rsid w:val="00544315"/>
    <w:rsid w:val="0055225E"/>
    <w:rsid w:val="00563DAB"/>
    <w:rsid w:val="005840DC"/>
    <w:rsid w:val="005852A9"/>
    <w:rsid w:val="005B0E7D"/>
    <w:rsid w:val="005B6E88"/>
    <w:rsid w:val="005D2DD6"/>
    <w:rsid w:val="005D6164"/>
    <w:rsid w:val="005E3CCB"/>
    <w:rsid w:val="005F1C7E"/>
    <w:rsid w:val="005F6845"/>
    <w:rsid w:val="00603D8F"/>
    <w:rsid w:val="00611B59"/>
    <w:rsid w:val="006126F8"/>
    <w:rsid w:val="006150A7"/>
    <w:rsid w:val="0063228F"/>
    <w:rsid w:val="0063618F"/>
    <w:rsid w:val="0064211D"/>
    <w:rsid w:val="00661C12"/>
    <w:rsid w:val="006656DC"/>
    <w:rsid w:val="00667E43"/>
    <w:rsid w:val="006A0780"/>
    <w:rsid w:val="006A7860"/>
    <w:rsid w:val="006B16A0"/>
    <w:rsid w:val="006C69F1"/>
    <w:rsid w:val="006D21A8"/>
    <w:rsid w:val="006D2E9A"/>
    <w:rsid w:val="006D48D5"/>
    <w:rsid w:val="006E4C25"/>
    <w:rsid w:val="006F3554"/>
    <w:rsid w:val="00706851"/>
    <w:rsid w:val="00706A2B"/>
    <w:rsid w:val="00707662"/>
    <w:rsid w:val="00726394"/>
    <w:rsid w:val="007471DF"/>
    <w:rsid w:val="0075392A"/>
    <w:rsid w:val="00757358"/>
    <w:rsid w:val="00761AFF"/>
    <w:rsid w:val="00774C40"/>
    <w:rsid w:val="00775CD3"/>
    <w:rsid w:val="007A30D2"/>
    <w:rsid w:val="007B14F9"/>
    <w:rsid w:val="007C2FC6"/>
    <w:rsid w:val="007D062D"/>
    <w:rsid w:val="007D420C"/>
    <w:rsid w:val="007D6324"/>
    <w:rsid w:val="007F5A70"/>
    <w:rsid w:val="0080339C"/>
    <w:rsid w:val="008053FB"/>
    <w:rsid w:val="008148F5"/>
    <w:rsid w:val="00821651"/>
    <w:rsid w:val="00823882"/>
    <w:rsid w:val="00846BC4"/>
    <w:rsid w:val="00855E77"/>
    <w:rsid w:val="00867BF2"/>
    <w:rsid w:val="00873599"/>
    <w:rsid w:val="008851BD"/>
    <w:rsid w:val="00893A13"/>
    <w:rsid w:val="008B7C4A"/>
    <w:rsid w:val="008D250E"/>
    <w:rsid w:val="008E06D2"/>
    <w:rsid w:val="008E4350"/>
    <w:rsid w:val="008F71D0"/>
    <w:rsid w:val="00907067"/>
    <w:rsid w:val="0093159B"/>
    <w:rsid w:val="00935262"/>
    <w:rsid w:val="00952DFB"/>
    <w:rsid w:val="00953C34"/>
    <w:rsid w:val="00955F68"/>
    <w:rsid w:val="00956356"/>
    <w:rsid w:val="0096308E"/>
    <w:rsid w:val="00967569"/>
    <w:rsid w:val="009A0A2E"/>
    <w:rsid w:val="009C17B2"/>
    <w:rsid w:val="009C246E"/>
    <w:rsid w:val="009C2950"/>
    <w:rsid w:val="009C3EE1"/>
    <w:rsid w:val="009C7D54"/>
    <w:rsid w:val="009D3DE8"/>
    <w:rsid w:val="009D54AB"/>
    <w:rsid w:val="009E2058"/>
    <w:rsid w:val="009E4F49"/>
    <w:rsid w:val="009F6D49"/>
    <w:rsid w:val="009F7CEF"/>
    <w:rsid w:val="009F7DC0"/>
    <w:rsid w:val="00A02EDD"/>
    <w:rsid w:val="00A06A4C"/>
    <w:rsid w:val="00A06EB8"/>
    <w:rsid w:val="00A4717B"/>
    <w:rsid w:val="00A524C7"/>
    <w:rsid w:val="00A65BA6"/>
    <w:rsid w:val="00A7790B"/>
    <w:rsid w:val="00A82350"/>
    <w:rsid w:val="00A9107B"/>
    <w:rsid w:val="00AA1EBF"/>
    <w:rsid w:val="00AC0CA8"/>
    <w:rsid w:val="00AC6DFD"/>
    <w:rsid w:val="00AD66B1"/>
    <w:rsid w:val="00AF24CF"/>
    <w:rsid w:val="00B223B0"/>
    <w:rsid w:val="00B23176"/>
    <w:rsid w:val="00B34E9E"/>
    <w:rsid w:val="00B42EC8"/>
    <w:rsid w:val="00B440EB"/>
    <w:rsid w:val="00B62C6F"/>
    <w:rsid w:val="00B63E8E"/>
    <w:rsid w:val="00B6764E"/>
    <w:rsid w:val="00B82628"/>
    <w:rsid w:val="00B91536"/>
    <w:rsid w:val="00B9293F"/>
    <w:rsid w:val="00B96227"/>
    <w:rsid w:val="00B96736"/>
    <w:rsid w:val="00B96FDC"/>
    <w:rsid w:val="00BA2234"/>
    <w:rsid w:val="00BA7FBA"/>
    <w:rsid w:val="00BB37D0"/>
    <w:rsid w:val="00BB63C3"/>
    <w:rsid w:val="00BC2BE5"/>
    <w:rsid w:val="00BC4B14"/>
    <w:rsid w:val="00BD62CE"/>
    <w:rsid w:val="00BE3293"/>
    <w:rsid w:val="00BF7355"/>
    <w:rsid w:val="00C164FC"/>
    <w:rsid w:val="00C16B85"/>
    <w:rsid w:val="00C33B73"/>
    <w:rsid w:val="00C36FC5"/>
    <w:rsid w:val="00C37405"/>
    <w:rsid w:val="00C379DE"/>
    <w:rsid w:val="00C50D75"/>
    <w:rsid w:val="00C74A4B"/>
    <w:rsid w:val="00C77C82"/>
    <w:rsid w:val="00C81394"/>
    <w:rsid w:val="00C85855"/>
    <w:rsid w:val="00C878AC"/>
    <w:rsid w:val="00CA076A"/>
    <w:rsid w:val="00CB31B6"/>
    <w:rsid w:val="00CC09C3"/>
    <w:rsid w:val="00CC0AC8"/>
    <w:rsid w:val="00CC2812"/>
    <w:rsid w:val="00CC7566"/>
    <w:rsid w:val="00CD2B51"/>
    <w:rsid w:val="00CD5383"/>
    <w:rsid w:val="00CE2745"/>
    <w:rsid w:val="00CE6B09"/>
    <w:rsid w:val="00CE702A"/>
    <w:rsid w:val="00D00014"/>
    <w:rsid w:val="00D120C4"/>
    <w:rsid w:val="00D13BFC"/>
    <w:rsid w:val="00D1567E"/>
    <w:rsid w:val="00D17D6D"/>
    <w:rsid w:val="00D25848"/>
    <w:rsid w:val="00D25A90"/>
    <w:rsid w:val="00D2666A"/>
    <w:rsid w:val="00D37174"/>
    <w:rsid w:val="00D409D2"/>
    <w:rsid w:val="00D44EA4"/>
    <w:rsid w:val="00D46FC1"/>
    <w:rsid w:val="00D514F0"/>
    <w:rsid w:val="00D55726"/>
    <w:rsid w:val="00D55BFC"/>
    <w:rsid w:val="00D565CD"/>
    <w:rsid w:val="00D65182"/>
    <w:rsid w:val="00D7555B"/>
    <w:rsid w:val="00D83094"/>
    <w:rsid w:val="00D85145"/>
    <w:rsid w:val="00D96ED1"/>
    <w:rsid w:val="00DA20BA"/>
    <w:rsid w:val="00DC2AFE"/>
    <w:rsid w:val="00DD2A9E"/>
    <w:rsid w:val="00DD4EE3"/>
    <w:rsid w:val="00DF2AD7"/>
    <w:rsid w:val="00DF2C9C"/>
    <w:rsid w:val="00DF2D50"/>
    <w:rsid w:val="00E00D6A"/>
    <w:rsid w:val="00E03F17"/>
    <w:rsid w:val="00E215F5"/>
    <w:rsid w:val="00E21AE7"/>
    <w:rsid w:val="00E23DFE"/>
    <w:rsid w:val="00E45E80"/>
    <w:rsid w:val="00E55C39"/>
    <w:rsid w:val="00E662CC"/>
    <w:rsid w:val="00E83B96"/>
    <w:rsid w:val="00E8719A"/>
    <w:rsid w:val="00E90BCA"/>
    <w:rsid w:val="00E922FB"/>
    <w:rsid w:val="00E95BBF"/>
    <w:rsid w:val="00E9731C"/>
    <w:rsid w:val="00E97F6D"/>
    <w:rsid w:val="00EA379D"/>
    <w:rsid w:val="00EB2241"/>
    <w:rsid w:val="00EC541E"/>
    <w:rsid w:val="00ED375A"/>
    <w:rsid w:val="00EF32C0"/>
    <w:rsid w:val="00EF384A"/>
    <w:rsid w:val="00F07ADB"/>
    <w:rsid w:val="00F20894"/>
    <w:rsid w:val="00F270EB"/>
    <w:rsid w:val="00F53FC4"/>
    <w:rsid w:val="00F616E2"/>
    <w:rsid w:val="00F65A07"/>
    <w:rsid w:val="00F723A6"/>
    <w:rsid w:val="00F83C3B"/>
    <w:rsid w:val="00F84E2D"/>
    <w:rsid w:val="00F86504"/>
    <w:rsid w:val="00F94A19"/>
    <w:rsid w:val="00FA240C"/>
    <w:rsid w:val="00FA4BC8"/>
    <w:rsid w:val="00FA71BE"/>
    <w:rsid w:val="00FB4385"/>
    <w:rsid w:val="00FC67FF"/>
    <w:rsid w:val="00FD062D"/>
    <w:rsid w:val="00FD0700"/>
    <w:rsid w:val="00FD5F6C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AD37"/>
  <w15:docId w15:val="{1A36411F-185A-42BA-BE7B-122C76C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440E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440EB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440EB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440EB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440EB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440EB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440EB"/>
    <w:pPr>
      <w:ind w:left="720"/>
      <w:contextualSpacing/>
    </w:pPr>
  </w:style>
  <w:style w:type="paragraph" w:customStyle="1" w:styleId="SOPLevel1">
    <w:name w:val="SOP Level 1"/>
    <w:basedOn w:val="SOPBasis"/>
    <w:qFormat/>
    <w:rsid w:val="00B440EB"/>
    <w:pPr>
      <w:numPr>
        <w:numId w:val="12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440EB"/>
    <w:pPr>
      <w:numPr>
        <w:ilvl w:val="1"/>
        <w:numId w:val="12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440EB"/>
    <w:pPr>
      <w:numPr>
        <w:ilvl w:val="2"/>
        <w:numId w:val="12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63228F"/>
    <w:pPr>
      <w:numPr>
        <w:ilvl w:val="3"/>
        <w:numId w:val="12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63228F"/>
    <w:pPr>
      <w:numPr>
        <w:ilvl w:val="4"/>
        <w:numId w:val="12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63228F"/>
    <w:pPr>
      <w:numPr>
        <w:ilvl w:val="5"/>
        <w:numId w:val="12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B440EB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440EB"/>
  </w:style>
  <w:style w:type="character" w:customStyle="1" w:styleId="SOPDefinition">
    <w:name w:val="SOP Definition"/>
    <w:basedOn w:val="SOPDefault"/>
    <w:uiPriority w:val="1"/>
    <w:qFormat/>
    <w:rsid w:val="00B440EB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Default">
    <w:name w:val="Default"/>
    <w:rsid w:val="00BC4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F4E1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4E1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0F4E1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next w:val="Normal"/>
    <w:qFormat/>
    <w:rsid w:val="00B440EB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6869-590D-476B-BBE2-18001D7604E1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6FC2EDE6-5BAE-423F-B3C8-9800E3AAD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AF38-AD18-4CCD-B9D1-C3284DE8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FF900F-10BF-403A-9E8B-8218D4DC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Prompt Reporting Requirements</vt:lpstr>
    </vt:vector>
  </TitlesOfParts>
  <Company>Copyright © 2013 WIRB-Copernicus Group. All rights reserved.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Prompt Reporting Requirements</dc:title>
  <dc:subject>HRP-071</dc:subject>
  <dc:creator>Jeffrey A. Cooper, MD, MMM</dc:creator>
  <dc:description>01 MAY 2020</dc:description>
  <cp:lastModifiedBy>TRA HSC</cp:lastModifiedBy>
  <cp:revision>5</cp:revision>
  <cp:lastPrinted>2012-12-27T22:05:00Z</cp:lastPrinted>
  <dcterms:created xsi:type="dcterms:W3CDTF">2020-04-08T17:59:00Z</dcterms:created>
  <dcterms:modified xsi:type="dcterms:W3CDTF">2020-05-28T15:48:00Z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2300</vt:r8>
  </property>
</Properties>
</file>