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48BA" w14:textId="10EAB284" w:rsidR="009B1358" w:rsidRDefault="000A2DA6" w:rsidP="00C649DE">
      <w:pPr>
        <w:spacing w:after="0"/>
        <w:jc w:val="center"/>
        <w:rPr>
          <w:b/>
        </w:rPr>
      </w:pPr>
      <w:r w:rsidRPr="005556D8">
        <w:rPr>
          <w:b/>
        </w:rPr>
        <w:t>Agent Summary</w:t>
      </w:r>
      <w:r w:rsidR="00E734A6">
        <w:rPr>
          <w:b/>
        </w:rPr>
        <w:t xml:space="preserve"> for</w:t>
      </w:r>
      <w:r w:rsidR="00F17F67" w:rsidRPr="005556D8">
        <w:rPr>
          <w:b/>
        </w:rPr>
        <w:t xml:space="preserve"> </w:t>
      </w:r>
      <w:r w:rsidR="00BE62D4">
        <w:rPr>
          <w:b/>
        </w:rPr>
        <w:t>Tetrodotoxin</w:t>
      </w:r>
      <w:r w:rsidR="00DE7462" w:rsidRPr="005556D8">
        <w:rPr>
          <w:b/>
        </w:rPr>
        <w:t xml:space="preserve"> </w:t>
      </w:r>
      <w:r w:rsidR="009B1358">
        <w:rPr>
          <w:b/>
        </w:rPr>
        <w:t>(</w:t>
      </w:r>
      <w:r w:rsidR="00C649DE">
        <w:rPr>
          <w:b/>
        </w:rPr>
        <w:t>TTX</w:t>
      </w:r>
      <w:hyperlink r:id="rId5" w:history="1"/>
      <w:r w:rsidR="009B1358">
        <w:rPr>
          <w:b/>
        </w:rPr>
        <w:t>)</w:t>
      </w:r>
    </w:p>
    <w:p w14:paraId="02108790" w14:textId="4F2D435A" w:rsidR="00C649DE" w:rsidRDefault="00C649DE" w:rsidP="00C649DE">
      <w:pPr>
        <w:spacing w:after="0"/>
        <w:jc w:val="center"/>
        <w:rPr>
          <w:b/>
        </w:rPr>
      </w:pPr>
    </w:p>
    <w:p w14:paraId="167DBBB3" w14:textId="77777777" w:rsidR="00C649DE" w:rsidRPr="005556D8" w:rsidRDefault="00C649DE" w:rsidP="00C649DE">
      <w:pPr>
        <w:spacing w:after="0"/>
        <w:jc w:val="center"/>
        <w:rPr>
          <w:b/>
        </w:rPr>
      </w:pPr>
    </w:p>
    <w:p w14:paraId="53D6CD41" w14:textId="77777777" w:rsidR="001A3E7D" w:rsidRPr="009B1358" w:rsidRDefault="001A3E7D" w:rsidP="00C649DE">
      <w:pPr>
        <w:pStyle w:val="ListParagraph"/>
        <w:numPr>
          <w:ilvl w:val="0"/>
          <w:numId w:val="1"/>
        </w:numPr>
        <w:spacing w:after="0"/>
        <w:ind w:left="360"/>
        <w:rPr>
          <w:iCs/>
          <w:color w:val="221E1F"/>
          <w:sz w:val="24"/>
          <w:szCs w:val="24"/>
        </w:rPr>
      </w:pPr>
      <w:r w:rsidRPr="009B1358">
        <w:rPr>
          <w:iCs/>
          <w:color w:val="221E1F"/>
          <w:sz w:val="24"/>
          <w:szCs w:val="24"/>
        </w:rPr>
        <w:t>Precaution</w:t>
      </w:r>
    </w:p>
    <w:p w14:paraId="728D0D9A" w14:textId="77777777" w:rsidR="00165985" w:rsidRPr="009B1358" w:rsidRDefault="00165985" w:rsidP="00C649DE">
      <w:pPr>
        <w:pStyle w:val="ListParagraph"/>
        <w:spacing w:after="0"/>
        <w:ind w:left="360"/>
        <w:rPr>
          <w:iCs/>
          <w:color w:val="221E1F"/>
          <w:sz w:val="24"/>
          <w:szCs w:val="24"/>
        </w:rPr>
      </w:pPr>
    </w:p>
    <w:p w14:paraId="284FC8BB" w14:textId="447D947E" w:rsidR="004D206C" w:rsidRDefault="004D206C" w:rsidP="00C649DE">
      <w:pPr>
        <w:pStyle w:val="ListParagraph"/>
        <w:spacing w:after="0" w:line="240" w:lineRule="auto"/>
        <w:ind w:left="360"/>
        <w:rPr>
          <w:iCs/>
          <w:color w:val="221E1F"/>
          <w:sz w:val="24"/>
          <w:szCs w:val="24"/>
        </w:rPr>
      </w:pPr>
      <w:r w:rsidRPr="004D206C">
        <w:rPr>
          <w:color w:val="221E1F"/>
          <w:sz w:val="24"/>
          <w:szCs w:val="24"/>
        </w:rPr>
        <w:t>T</w:t>
      </w:r>
      <w:r w:rsidRPr="004D206C">
        <w:rPr>
          <w:iCs/>
          <w:color w:val="221E1F"/>
          <w:sz w:val="24"/>
          <w:szCs w:val="24"/>
        </w:rPr>
        <w:t xml:space="preserve">etrodotoxin </w:t>
      </w:r>
      <w:r w:rsidR="00C649DE">
        <w:rPr>
          <w:iCs/>
          <w:color w:val="221E1F"/>
          <w:sz w:val="24"/>
          <w:szCs w:val="24"/>
        </w:rPr>
        <w:t xml:space="preserve">(TTX) </w:t>
      </w:r>
      <w:r w:rsidRPr="004D206C">
        <w:rPr>
          <w:iCs/>
          <w:color w:val="221E1F"/>
          <w:sz w:val="24"/>
          <w:szCs w:val="24"/>
        </w:rPr>
        <w:t xml:space="preserve">are paralytic marine toxins that interfere with normal function of the sodium channel in excitable cells of heart, </w:t>
      </w:r>
      <w:proofErr w:type="gramStart"/>
      <w:r w:rsidRPr="004D206C">
        <w:rPr>
          <w:iCs/>
          <w:color w:val="221E1F"/>
          <w:sz w:val="24"/>
          <w:szCs w:val="24"/>
        </w:rPr>
        <w:t>muscle</w:t>
      </w:r>
      <w:proofErr w:type="gramEnd"/>
      <w:r w:rsidRPr="004D206C">
        <w:rPr>
          <w:iCs/>
          <w:color w:val="221E1F"/>
          <w:sz w:val="24"/>
          <w:szCs w:val="24"/>
        </w:rPr>
        <w:t xml:space="preserve"> and neuronal tissue.</w:t>
      </w:r>
    </w:p>
    <w:p w14:paraId="17D4641C" w14:textId="77777777" w:rsidR="004D206C" w:rsidRDefault="004D206C" w:rsidP="00C649DE">
      <w:pPr>
        <w:pStyle w:val="ListParagraph"/>
        <w:spacing w:after="0" w:line="240" w:lineRule="auto"/>
        <w:ind w:left="360"/>
        <w:rPr>
          <w:iCs/>
          <w:color w:val="221E1F"/>
          <w:sz w:val="24"/>
          <w:szCs w:val="24"/>
        </w:rPr>
      </w:pPr>
    </w:p>
    <w:p w14:paraId="4A114629" w14:textId="77777777" w:rsidR="004D206C" w:rsidRPr="004D206C" w:rsidRDefault="004D206C" w:rsidP="00C649DE">
      <w:pPr>
        <w:pStyle w:val="ListParagraph"/>
        <w:spacing w:after="0" w:line="240" w:lineRule="auto"/>
        <w:ind w:left="360"/>
        <w:rPr>
          <w:iCs/>
          <w:color w:val="221E1F"/>
          <w:sz w:val="24"/>
          <w:szCs w:val="24"/>
        </w:rPr>
      </w:pPr>
      <w:r w:rsidRPr="004D206C">
        <w:rPr>
          <w:iCs/>
          <w:color w:val="221E1F"/>
          <w:sz w:val="24"/>
          <w:szCs w:val="24"/>
        </w:rPr>
        <w:t xml:space="preserve">Animals exposed to 1-10 </w:t>
      </w:r>
      <w:proofErr w:type="spellStart"/>
      <w:r w:rsidRPr="004D206C">
        <w:rPr>
          <w:iCs/>
          <w:color w:val="221E1F"/>
          <w:sz w:val="24"/>
          <w:szCs w:val="24"/>
        </w:rPr>
        <w:t>μg</w:t>
      </w:r>
      <w:proofErr w:type="spellEnd"/>
      <w:r w:rsidRPr="004D206C">
        <w:rPr>
          <w:iCs/>
          <w:color w:val="221E1F"/>
          <w:sz w:val="24"/>
          <w:szCs w:val="24"/>
        </w:rPr>
        <w:t>/kg toxin by parenteral routes typically develop a rapid onset of excitability, muscle spasm, and respiratory distress; death may occur within 10-15 minutes from respiratory paralysis.</w:t>
      </w:r>
      <w:r>
        <w:rPr>
          <w:iCs/>
          <w:color w:val="221E1F"/>
          <w:sz w:val="24"/>
          <w:szCs w:val="24"/>
        </w:rPr>
        <w:t xml:space="preserve"> </w:t>
      </w:r>
      <w:r w:rsidRPr="004D206C">
        <w:rPr>
          <w:iCs/>
          <w:color w:val="221E1F"/>
          <w:sz w:val="24"/>
          <w:szCs w:val="24"/>
        </w:rPr>
        <w:t xml:space="preserve">Humans ingesting seafood contaminated with tetrodotoxin show similar signs of toxicity, typically preceded by </w:t>
      </w:r>
      <w:proofErr w:type="spellStart"/>
      <w:r w:rsidRPr="004D206C">
        <w:rPr>
          <w:iCs/>
          <w:color w:val="221E1F"/>
          <w:sz w:val="24"/>
          <w:szCs w:val="24"/>
        </w:rPr>
        <w:t>paresthesias</w:t>
      </w:r>
      <w:proofErr w:type="spellEnd"/>
      <w:r w:rsidRPr="004D206C">
        <w:rPr>
          <w:iCs/>
          <w:color w:val="221E1F"/>
          <w:sz w:val="24"/>
          <w:szCs w:val="24"/>
        </w:rPr>
        <w:t xml:space="preserve"> of the lips, face and extremities.</w:t>
      </w:r>
    </w:p>
    <w:p w14:paraId="13BD7162" w14:textId="77777777" w:rsidR="004D206C" w:rsidRDefault="004D206C" w:rsidP="00C649DE">
      <w:pPr>
        <w:pStyle w:val="ListParagraph"/>
        <w:spacing w:after="0" w:line="240" w:lineRule="auto"/>
        <w:ind w:left="360"/>
        <w:rPr>
          <w:i/>
          <w:iCs/>
          <w:color w:val="221E1F"/>
          <w:sz w:val="24"/>
          <w:szCs w:val="24"/>
        </w:rPr>
      </w:pPr>
    </w:p>
    <w:p w14:paraId="65B371F3" w14:textId="77777777" w:rsidR="004D206C" w:rsidRDefault="004D206C" w:rsidP="00C649DE">
      <w:pPr>
        <w:pStyle w:val="ListParagraph"/>
        <w:spacing w:after="0" w:line="240" w:lineRule="auto"/>
        <w:ind w:left="360"/>
        <w:rPr>
          <w:color w:val="221E1F"/>
          <w:sz w:val="24"/>
          <w:szCs w:val="24"/>
        </w:rPr>
      </w:pPr>
      <w:r w:rsidRPr="004D206C">
        <w:rPr>
          <w:color w:val="221E1F"/>
          <w:sz w:val="24"/>
          <w:szCs w:val="24"/>
        </w:rPr>
        <w:t xml:space="preserve">Ingestion, parenteral inoculation, skin and eye contamination, and droplet or aerosol exposure of mucous membranes are the primary hazards to laboratory and animal care personnel. </w:t>
      </w:r>
    </w:p>
    <w:p w14:paraId="30275DB5" w14:textId="3A2DB57F" w:rsidR="004D206C" w:rsidRDefault="004D206C" w:rsidP="00C649DE">
      <w:pPr>
        <w:pStyle w:val="ListParagraph"/>
        <w:spacing w:after="0" w:line="240" w:lineRule="auto"/>
        <w:ind w:left="360"/>
        <w:rPr>
          <w:color w:val="221E1F"/>
          <w:sz w:val="24"/>
          <w:szCs w:val="24"/>
        </w:rPr>
      </w:pPr>
    </w:p>
    <w:p w14:paraId="455B2BA9" w14:textId="22746ECD" w:rsidR="00C649DE" w:rsidRDefault="00C649DE" w:rsidP="00C649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</w:rPr>
      </w:pPr>
      <w:r w:rsidRPr="00C649DE">
        <w:rPr>
          <w:rFonts w:cstheme="minorHAnsi"/>
          <w:bCs/>
        </w:rPr>
        <w:t>References</w:t>
      </w:r>
    </w:p>
    <w:p w14:paraId="0FB7F662" w14:textId="77777777" w:rsidR="00E734A6" w:rsidRDefault="00E734A6" w:rsidP="00C649DE">
      <w:pPr>
        <w:spacing w:after="0" w:line="240" w:lineRule="auto"/>
        <w:ind w:left="360"/>
        <w:outlineLvl w:val="0"/>
        <w:rPr>
          <w:rFonts w:cstheme="minorHAnsi"/>
        </w:rPr>
      </w:pPr>
    </w:p>
    <w:p w14:paraId="2BFE5723" w14:textId="02DDBD68" w:rsidR="00C649DE" w:rsidRPr="00C649DE" w:rsidRDefault="00C649DE" w:rsidP="00C649DE">
      <w:pPr>
        <w:spacing w:after="0" w:line="240" w:lineRule="auto"/>
        <w:ind w:left="360"/>
        <w:outlineLvl w:val="0"/>
        <w:rPr>
          <w:rFonts w:eastAsia="Times New Roman" w:cstheme="minorHAnsi"/>
          <w:bCs/>
          <w:kern w:val="36"/>
        </w:rPr>
      </w:pPr>
      <w:r w:rsidRPr="00C649DE">
        <w:rPr>
          <w:rFonts w:cstheme="minorHAnsi"/>
        </w:rPr>
        <w:t>Biosafety in Microbiological and Biomedical Laboratories-6</w:t>
      </w:r>
      <w:r w:rsidRPr="00C649DE">
        <w:rPr>
          <w:rFonts w:cstheme="minorHAnsi"/>
          <w:vertAlign w:val="superscript"/>
        </w:rPr>
        <w:t>th</w:t>
      </w:r>
      <w:r w:rsidRPr="00C649DE">
        <w:rPr>
          <w:rFonts w:cstheme="minorHAnsi"/>
        </w:rPr>
        <w:t xml:space="preserve"> Edition (BMBL 6). U.S. Department of Health and Human Services, Public Health Service, Centers for Disease Control and Prevention, National Institutes of Health. </w:t>
      </w:r>
      <w:hyperlink r:id="rId6" w:history="1">
        <w:r w:rsidRPr="00C649DE">
          <w:rPr>
            <w:rStyle w:val="Hyperlink"/>
            <w:rFonts w:eastAsia="Times New Roman" w:cstheme="minorHAnsi"/>
            <w:bCs/>
            <w:kern w:val="36"/>
          </w:rPr>
          <w:t>https://www.cdc.gov/labs/pdf/CDC-BiosafetyMicrobiologicalBiomedicalLaboratories-2020-P.pdf</w:t>
        </w:r>
      </w:hyperlink>
      <w:r w:rsidRPr="00C649DE">
        <w:rPr>
          <w:rFonts w:eastAsia="Times New Roman" w:cstheme="minorHAnsi"/>
          <w:bCs/>
          <w:kern w:val="36"/>
        </w:rPr>
        <w:t xml:space="preserve"> </w:t>
      </w:r>
    </w:p>
    <w:p w14:paraId="5B87603B" w14:textId="73839D2F" w:rsidR="00C649DE" w:rsidRDefault="00C649DE" w:rsidP="00C649DE">
      <w:pPr>
        <w:pStyle w:val="ListParagraph"/>
        <w:spacing w:after="0" w:line="240" w:lineRule="auto"/>
        <w:ind w:left="360"/>
        <w:rPr>
          <w:color w:val="221E1F"/>
          <w:sz w:val="24"/>
          <w:szCs w:val="24"/>
        </w:rPr>
      </w:pPr>
    </w:p>
    <w:p w14:paraId="1B32078B" w14:textId="77777777" w:rsidR="00C649DE" w:rsidRDefault="00C649DE" w:rsidP="00C649DE">
      <w:pPr>
        <w:pStyle w:val="ListParagraph"/>
        <w:spacing w:after="0" w:line="240" w:lineRule="auto"/>
        <w:ind w:left="360"/>
        <w:rPr>
          <w:color w:val="221E1F"/>
          <w:sz w:val="24"/>
          <w:szCs w:val="24"/>
        </w:rPr>
      </w:pPr>
    </w:p>
    <w:p w14:paraId="72587213" w14:textId="77777777" w:rsidR="00C649DE" w:rsidRPr="00CA5AC9" w:rsidRDefault="00C649DE" w:rsidP="00C649DE">
      <w:pPr>
        <w:spacing w:after="0" w:line="276" w:lineRule="auto"/>
        <w:jc w:val="both"/>
        <w:rPr>
          <w:u w:val="single"/>
        </w:rPr>
      </w:pPr>
      <w:r w:rsidRPr="00CA5AC9">
        <w:rPr>
          <w:u w:val="single"/>
        </w:rPr>
        <w:t>Enter the following information:</w:t>
      </w:r>
    </w:p>
    <w:p w14:paraId="461D4068" w14:textId="4C075573" w:rsidR="00C649DE" w:rsidRDefault="00C649DE" w:rsidP="00C649DE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 xml:space="preserve">Name of the </w:t>
      </w:r>
      <w:r>
        <w:t>Principal</w:t>
      </w:r>
      <w:r>
        <w:t xml:space="preserve"> Investigator: ________________________________</w:t>
      </w:r>
      <w:r>
        <w:rPr>
          <w:u w:val="single"/>
        </w:rPr>
        <w:t xml:space="preserve">       </w:t>
      </w:r>
      <w:r>
        <w:t>__</w:t>
      </w:r>
    </w:p>
    <w:p w14:paraId="6B3CB935" w14:textId="77777777" w:rsidR="00C649DE" w:rsidRDefault="00C649DE" w:rsidP="00C649DE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>Applicable IBC protocol number(s) (approved or submitted): _________________</w:t>
      </w:r>
    </w:p>
    <w:p w14:paraId="139A27E2" w14:textId="7404EEAE" w:rsidR="00C649DE" w:rsidRPr="001239FE" w:rsidRDefault="00C649DE" w:rsidP="00C649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39FE">
        <w:rPr>
          <w:rFonts w:cstheme="minorHAnsi"/>
        </w:rPr>
        <w:t>List the laboratory work locations (B</w:t>
      </w:r>
      <w:r>
        <w:rPr>
          <w:rFonts w:cstheme="minorHAnsi"/>
        </w:rPr>
        <w:t xml:space="preserve">uilding/room[s]) for </w:t>
      </w:r>
      <w:r>
        <w:rPr>
          <w:rFonts w:cstheme="minorHAnsi"/>
        </w:rPr>
        <w:t>TTX</w:t>
      </w:r>
      <w:r w:rsidRPr="001239FE">
        <w:rPr>
          <w:rFonts w:cstheme="minorHAnsi"/>
        </w:rPr>
        <w:t xml:space="preserve">, </w:t>
      </w:r>
      <w:r>
        <w:rPr>
          <w:rFonts w:cstheme="minorHAnsi"/>
        </w:rPr>
        <w:t xml:space="preserve">a </w:t>
      </w:r>
      <w:r w:rsidRPr="001239FE">
        <w:rPr>
          <w:rFonts w:cstheme="minorHAnsi"/>
        </w:rPr>
        <w:t>BSL2</w:t>
      </w:r>
      <w:r>
        <w:rPr>
          <w:rFonts w:cstheme="minorHAnsi"/>
        </w:rPr>
        <w:t xml:space="preserve"> agent</w:t>
      </w:r>
      <w:r w:rsidRPr="001239FE">
        <w:rPr>
          <w:rFonts w:cstheme="minorHAnsi"/>
        </w:rPr>
        <w:t>:</w:t>
      </w:r>
    </w:p>
    <w:p w14:paraId="1BF8C5DF" w14:textId="77777777" w:rsidR="00C649DE" w:rsidRPr="00F26AE8" w:rsidRDefault="00C649DE" w:rsidP="00C649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26AE8">
        <w:rPr>
          <w:rFonts w:cstheme="minorHAnsi"/>
        </w:rPr>
        <w:t>Procedures:_</w:t>
      </w:r>
      <w:proofErr w:type="gramEnd"/>
      <w:r w:rsidRPr="00F26AE8">
        <w:rPr>
          <w:rFonts w:cstheme="minorHAnsi"/>
        </w:rPr>
        <w:t>________________________________ and Storage: _________________</w:t>
      </w:r>
      <w:r>
        <w:rPr>
          <w:rFonts w:cstheme="minorHAnsi"/>
        </w:rPr>
        <w:t>____</w:t>
      </w:r>
    </w:p>
    <w:p w14:paraId="31CBBB67" w14:textId="53AB56F9" w:rsidR="00C649DE" w:rsidRPr="001239FE" w:rsidRDefault="00C649DE" w:rsidP="00C649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List </w:t>
      </w:r>
      <w:r w:rsidRPr="001239FE">
        <w:rPr>
          <w:rFonts w:cstheme="minorHAnsi"/>
        </w:rPr>
        <w:t xml:space="preserve">the animal facility </w:t>
      </w:r>
      <w:r>
        <w:rPr>
          <w:rFonts w:cstheme="minorHAnsi"/>
        </w:rPr>
        <w:t xml:space="preserve">building/room(s) for </w:t>
      </w:r>
      <w:r>
        <w:rPr>
          <w:rFonts w:cstheme="minorHAnsi"/>
        </w:rPr>
        <w:t>TTX</w:t>
      </w:r>
      <w:r w:rsidRPr="001239FE">
        <w:rPr>
          <w:rFonts w:cstheme="minorHAnsi"/>
        </w:rPr>
        <w:t>, ABSL2</w:t>
      </w:r>
      <w:r>
        <w:rPr>
          <w:rFonts w:cstheme="minorHAnsi"/>
        </w:rPr>
        <w:t xml:space="preserve"> containment</w:t>
      </w:r>
      <w:r w:rsidRPr="001239FE">
        <w:rPr>
          <w:rFonts w:cstheme="minorHAnsi"/>
        </w:rPr>
        <w:t>:</w:t>
      </w:r>
    </w:p>
    <w:p w14:paraId="6FE12B84" w14:textId="77777777" w:rsidR="00C649DE" w:rsidRPr="00F26AE8" w:rsidRDefault="00C649DE" w:rsidP="00C649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26AE8">
        <w:rPr>
          <w:rFonts w:cstheme="minorHAnsi"/>
        </w:rPr>
        <w:t>Procedures:_</w:t>
      </w:r>
      <w:proofErr w:type="gramEnd"/>
      <w:r w:rsidRPr="00F26AE8">
        <w:rPr>
          <w:rFonts w:cstheme="minorHAnsi"/>
        </w:rPr>
        <w:t xml:space="preserve">________________________________ and </w:t>
      </w:r>
      <w:r>
        <w:rPr>
          <w:rFonts w:cstheme="minorHAnsi"/>
        </w:rPr>
        <w:t>Housing</w:t>
      </w:r>
      <w:r w:rsidRPr="00F26AE8">
        <w:rPr>
          <w:rFonts w:cstheme="minorHAnsi"/>
        </w:rPr>
        <w:t>:_____________________</w:t>
      </w:r>
    </w:p>
    <w:p w14:paraId="2C4F63A3" w14:textId="77777777" w:rsidR="00C649DE" w:rsidRDefault="00C649DE" w:rsidP="00C649DE">
      <w:pPr>
        <w:autoSpaceDE w:val="0"/>
        <w:autoSpaceDN w:val="0"/>
        <w:adjustRightInd w:val="0"/>
        <w:spacing w:after="0" w:line="240" w:lineRule="auto"/>
        <w:ind w:left="360" w:firstLine="360"/>
        <w:rPr>
          <w:rFonts w:cstheme="minorHAnsi"/>
        </w:rPr>
      </w:pPr>
      <w:r>
        <w:rPr>
          <w:rFonts w:cstheme="minorHAnsi"/>
        </w:rPr>
        <w:t>*Note: confirm with ULAR that the rooms listed above are suitable for ABSL2 animals.</w:t>
      </w:r>
    </w:p>
    <w:p w14:paraId="7CAE2147" w14:textId="77777777" w:rsidR="00C649DE" w:rsidRPr="00CA5AC9" w:rsidRDefault="00C649DE" w:rsidP="00C649DE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>Date of Agent Summary form completion: _______________________________</w:t>
      </w:r>
    </w:p>
    <w:p w14:paraId="1E60D00E" w14:textId="69580F86" w:rsidR="001A3E7D" w:rsidRPr="00C649DE" w:rsidRDefault="001A3E7D" w:rsidP="00C649DE">
      <w:pPr>
        <w:spacing w:after="0" w:line="240" w:lineRule="auto"/>
        <w:rPr>
          <w:sz w:val="24"/>
          <w:szCs w:val="24"/>
        </w:rPr>
      </w:pPr>
    </w:p>
    <w:sectPr w:rsidR="001A3E7D" w:rsidRPr="00C6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70"/>
    <w:multiLevelType w:val="hybridMultilevel"/>
    <w:tmpl w:val="9BCC4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0456A"/>
    <w:multiLevelType w:val="hybridMultilevel"/>
    <w:tmpl w:val="317A75C6"/>
    <w:lvl w:ilvl="0" w:tplc="83F48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768FB"/>
    <w:multiLevelType w:val="hybridMultilevel"/>
    <w:tmpl w:val="23BAE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3C0D0A"/>
    <w:multiLevelType w:val="hybridMultilevel"/>
    <w:tmpl w:val="E8D6D78E"/>
    <w:lvl w:ilvl="0" w:tplc="B63804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A1"/>
    <w:rsid w:val="00037FF6"/>
    <w:rsid w:val="00046CFD"/>
    <w:rsid w:val="00072BD6"/>
    <w:rsid w:val="000755EC"/>
    <w:rsid w:val="000A2DA6"/>
    <w:rsid w:val="00165985"/>
    <w:rsid w:val="0018187F"/>
    <w:rsid w:val="001A3E7D"/>
    <w:rsid w:val="002F5A27"/>
    <w:rsid w:val="003D01A1"/>
    <w:rsid w:val="004D206C"/>
    <w:rsid w:val="005556D8"/>
    <w:rsid w:val="008343DE"/>
    <w:rsid w:val="008C6C68"/>
    <w:rsid w:val="009B1358"/>
    <w:rsid w:val="00B648DB"/>
    <w:rsid w:val="00BD75FA"/>
    <w:rsid w:val="00BE62D4"/>
    <w:rsid w:val="00C01BEA"/>
    <w:rsid w:val="00C649DE"/>
    <w:rsid w:val="00DE7462"/>
    <w:rsid w:val="00E734A6"/>
    <w:rsid w:val="00F05E8A"/>
    <w:rsid w:val="00F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BE54"/>
  <w15:chartTrackingRefBased/>
  <w15:docId w15:val="{0BEEAFF4-FEDB-4E58-B1FC-5FCBCC04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1">
    <w:name w:val="Pa7+1"/>
    <w:basedOn w:val="Normal"/>
    <w:next w:val="Normal"/>
    <w:uiPriority w:val="99"/>
    <w:rsid w:val="003D01A1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A71">
    <w:name w:val="A7+1"/>
    <w:uiPriority w:val="99"/>
    <w:rsid w:val="003D01A1"/>
    <w:rPr>
      <w:color w:val="221E1F"/>
      <w:sz w:val="10"/>
      <w:szCs w:val="10"/>
    </w:rPr>
  </w:style>
  <w:style w:type="paragraph" w:customStyle="1" w:styleId="Pa81">
    <w:name w:val="Pa8+1"/>
    <w:basedOn w:val="Normal"/>
    <w:next w:val="Normal"/>
    <w:uiPriority w:val="99"/>
    <w:rsid w:val="003D01A1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Pa82">
    <w:name w:val="Pa8+2"/>
    <w:basedOn w:val="Normal"/>
    <w:next w:val="Normal"/>
    <w:uiPriority w:val="99"/>
    <w:rsid w:val="003D01A1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A72">
    <w:name w:val="A7+2"/>
    <w:uiPriority w:val="99"/>
    <w:rsid w:val="003D01A1"/>
    <w:rPr>
      <w:color w:val="221E1F"/>
      <w:sz w:val="10"/>
      <w:szCs w:val="10"/>
    </w:rPr>
  </w:style>
  <w:style w:type="paragraph" w:customStyle="1" w:styleId="Pa222">
    <w:name w:val="Pa22+2"/>
    <w:basedOn w:val="Normal"/>
    <w:next w:val="Normal"/>
    <w:uiPriority w:val="99"/>
    <w:rsid w:val="003D01A1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Pa72">
    <w:name w:val="Pa7+2"/>
    <w:basedOn w:val="Normal"/>
    <w:next w:val="Normal"/>
    <w:uiPriority w:val="99"/>
    <w:rsid w:val="003D01A1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E7D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0A2DA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0A2DA6"/>
    <w:rPr>
      <w:color w:val="221E1F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F17F6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17F6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64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labs/pdf/CDC-BiosafetyMicrobiologicalBiomedicalLaboratories-2020-P.pdf" TargetMode="External"/><Relationship Id="rId5" Type="http://schemas.openxmlformats.org/officeDocument/2006/relationships/hyperlink" Target="http://www.cdc.gov/hai/organisms/pseudomon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Su-Hwi Hung-Cunliffe</dc:creator>
  <cp:keywords/>
  <dc:description/>
  <cp:lastModifiedBy>Artur Slupianek</cp:lastModifiedBy>
  <cp:revision>2</cp:revision>
  <dcterms:created xsi:type="dcterms:W3CDTF">2022-05-05T17:10:00Z</dcterms:created>
  <dcterms:modified xsi:type="dcterms:W3CDTF">2022-05-05T17:10:00Z</dcterms:modified>
</cp:coreProperties>
</file>