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A713" w14:textId="77777777" w:rsidR="00E22D2C" w:rsidRPr="00D22C80" w:rsidRDefault="00E22D2C" w:rsidP="00F57744">
      <w:pPr>
        <w:spacing w:after="0"/>
        <w:jc w:val="center"/>
        <w:rPr>
          <w:b/>
        </w:rPr>
      </w:pPr>
      <w:r w:rsidRPr="00E22D2C">
        <w:rPr>
          <w:b/>
        </w:rPr>
        <w:t>Agent Summary</w:t>
      </w:r>
      <w:r w:rsidR="00D22C80">
        <w:rPr>
          <w:b/>
        </w:rPr>
        <w:t xml:space="preserve"> </w:t>
      </w:r>
      <w:r w:rsidRPr="00E22D2C">
        <w:rPr>
          <w:b/>
        </w:rPr>
        <w:t xml:space="preserve">– </w:t>
      </w:r>
      <w:r w:rsidRPr="00D22C80">
        <w:rPr>
          <w:b/>
        </w:rPr>
        <w:t>Vaccinia Virus</w:t>
      </w:r>
    </w:p>
    <w:p w14:paraId="2DE470D9" w14:textId="77777777" w:rsidR="00E22D2C" w:rsidRDefault="00E22D2C" w:rsidP="00113D45">
      <w:pPr>
        <w:spacing w:after="0"/>
      </w:pPr>
    </w:p>
    <w:p w14:paraId="2FCA12B8" w14:textId="77777777" w:rsidR="00E22D2C" w:rsidRPr="00AC6CFB" w:rsidRDefault="00E22D2C" w:rsidP="00113D4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5249B4">
        <w:rPr>
          <w:rFonts w:cstheme="minorHAnsi"/>
        </w:rPr>
        <w:t>The </w:t>
      </w:r>
      <w:r w:rsidRPr="005249B4">
        <w:rPr>
          <w:rFonts w:cstheme="minorHAnsi"/>
          <w:iCs/>
        </w:rPr>
        <w:t>vaccinia</w:t>
      </w:r>
      <w:r w:rsidRPr="005249B4">
        <w:rPr>
          <w:rFonts w:cstheme="minorHAnsi"/>
        </w:rPr>
        <w:t> virus</w:t>
      </w:r>
      <w:r w:rsidR="00424D4B" w:rsidRPr="00AC6CFB">
        <w:rPr>
          <w:rFonts w:cstheme="minorHAnsi"/>
        </w:rPr>
        <w:t xml:space="preserve"> </w:t>
      </w:r>
      <w:r w:rsidRPr="00AC6CFB">
        <w:rPr>
          <w:rFonts w:cstheme="minorHAnsi"/>
        </w:rPr>
        <w:t xml:space="preserve">is a linear, double stranded DNA </w:t>
      </w:r>
      <w:proofErr w:type="spellStart"/>
      <w:r w:rsidR="001E648B">
        <w:rPr>
          <w:rFonts w:cstheme="minorHAnsi"/>
        </w:rPr>
        <w:t>orthopox</w:t>
      </w:r>
      <w:r w:rsidRPr="00AC6CFB">
        <w:rPr>
          <w:rFonts w:cstheme="minorHAnsi"/>
        </w:rPr>
        <w:t>virus</w:t>
      </w:r>
      <w:proofErr w:type="spellEnd"/>
      <w:r w:rsidRPr="00AC6CFB">
        <w:rPr>
          <w:rFonts w:cstheme="minorHAnsi"/>
        </w:rPr>
        <w:t xml:space="preserve"> that is a member of the Poxviridae family. It is usually 320-380 by 260-340 nm in size.</w:t>
      </w:r>
    </w:p>
    <w:p w14:paraId="763CE72B" w14:textId="77777777" w:rsidR="002E1F5F" w:rsidRPr="00AC6CFB" w:rsidRDefault="00E22D2C" w:rsidP="00AC6CFB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AC6CFB">
        <w:rPr>
          <w:rFonts w:cstheme="minorHAnsi"/>
        </w:rPr>
        <w:t xml:space="preserve">Vaccinia virus is used </w:t>
      </w:r>
      <w:r w:rsidR="002E1F5F" w:rsidRPr="00AC6CFB">
        <w:rPr>
          <w:rFonts w:cstheme="minorHAnsi"/>
        </w:rPr>
        <w:t xml:space="preserve">in the prevention of smallpox (to make the </w:t>
      </w:r>
      <w:r w:rsidRPr="00AC6CFB">
        <w:rPr>
          <w:rFonts w:cstheme="minorHAnsi"/>
        </w:rPr>
        <w:t>smallpox vaccine</w:t>
      </w:r>
      <w:r w:rsidR="002E1F5F" w:rsidRPr="00AC6CFB">
        <w:rPr>
          <w:rFonts w:cstheme="minorHAnsi"/>
        </w:rPr>
        <w:t>)</w:t>
      </w:r>
      <w:r w:rsidRPr="00AC6CFB">
        <w:rPr>
          <w:rFonts w:cstheme="minorHAnsi"/>
        </w:rPr>
        <w:t xml:space="preserve"> and ma</w:t>
      </w:r>
      <w:r w:rsidR="004E3C18" w:rsidRPr="00AC6CFB">
        <w:rPr>
          <w:rFonts w:cstheme="minorHAnsi"/>
        </w:rPr>
        <w:t>y occur as a rare zoonosis.</w:t>
      </w:r>
    </w:p>
    <w:p w14:paraId="197D6405" w14:textId="77777777" w:rsidR="00BF6F42" w:rsidRPr="00AC6CFB" w:rsidRDefault="002E1F5F" w:rsidP="00AC6CF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60"/>
        <w:rPr>
          <w:rFonts w:cstheme="minorHAnsi"/>
        </w:rPr>
      </w:pPr>
      <w:r w:rsidRPr="00AC6CFB">
        <w:rPr>
          <w:rFonts w:cstheme="minorHAnsi"/>
          <w:shd w:val="clear" w:color="auto" w:fill="FFFFFF"/>
        </w:rPr>
        <w:t>The different strains of vaccinia virus used in research and clinical settings present different levels of risk</w:t>
      </w:r>
      <w:r w:rsidR="00BF6F42" w:rsidRPr="00AC6CFB">
        <w:rPr>
          <w:rFonts w:cstheme="minorHAnsi"/>
          <w:shd w:val="clear" w:color="auto" w:fill="FFFFFF"/>
        </w:rPr>
        <w:t>:</w:t>
      </w:r>
    </w:p>
    <w:p w14:paraId="7A72CFFB" w14:textId="77777777" w:rsidR="00BF6F42" w:rsidRPr="001E648B" w:rsidRDefault="00BF6F42" w:rsidP="00AC6CF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720"/>
        <w:rPr>
          <w:rFonts w:cstheme="minorHAnsi"/>
          <w:i/>
        </w:rPr>
      </w:pPr>
      <w:r w:rsidRPr="001E648B">
        <w:rPr>
          <w:rStyle w:val="Strong"/>
          <w:rFonts w:cstheme="minorHAnsi"/>
          <w:b w:val="0"/>
        </w:rPr>
        <w:t>Replication-deficient</w:t>
      </w:r>
      <w:r w:rsidRPr="001E648B">
        <w:rPr>
          <w:rFonts w:cstheme="minorHAnsi"/>
        </w:rPr>
        <w:t xml:space="preserve"> poxvirus strains and vectors do not produce infectious virus in humans and therefore do not cause clinical infection. These include </w:t>
      </w:r>
      <w:r w:rsidR="00113D45">
        <w:rPr>
          <w:rFonts w:cstheme="minorHAnsi"/>
        </w:rPr>
        <w:t xml:space="preserve">the following </w:t>
      </w:r>
      <w:r w:rsidR="00AC6CFB" w:rsidRPr="001E648B">
        <w:rPr>
          <w:rFonts w:cstheme="minorHAnsi"/>
          <w:shd w:val="clear" w:color="auto" w:fill="FFFFFF"/>
        </w:rPr>
        <w:t xml:space="preserve">highly attenuated </w:t>
      </w:r>
      <w:r w:rsidR="00113D45">
        <w:rPr>
          <w:rFonts w:cstheme="minorHAnsi"/>
          <w:shd w:val="clear" w:color="auto" w:fill="FFFFFF"/>
        </w:rPr>
        <w:t xml:space="preserve">strains: </w:t>
      </w:r>
      <w:r w:rsidR="001E648B">
        <w:rPr>
          <w:color w:val="000000"/>
          <w:shd w:val="clear" w:color="auto" w:fill="FFFFFF"/>
        </w:rPr>
        <w:t>modified vaccinia virus Ankara (</w:t>
      </w:r>
      <w:r w:rsidRPr="001E648B">
        <w:rPr>
          <w:rFonts w:cstheme="minorHAnsi"/>
        </w:rPr>
        <w:t>MVA</w:t>
      </w:r>
      <w:r w:rsidR="001E648B">
        <w:rPr>
          <w:rFonts w:cstheme="minorHAnsi"/>
        </w:rPr>
        <w:t>)</w:t>
      </w:r>
      <w:r w:rsidRPr="001E648B">
        <w:rPr>
          <w:rFonts w:cstheme="minorHAnsi"/>
        </w:rPr>
        <w:t xml:space="preserve">, </w:t>
      </w:r>
      <w:r w:rsidR="001E648B">
        <w:rPr>
          <w:color w:val="000000"/>
          <w:shd w:val="clear" w:color="auto" w:fill="FFFFFF"/>
        </w:rPr>
        <w:t>attenuated vaccinia virus Copenhagen (NYVAC)</w:t>
      </w:r>
      <w:r w:rsidR="00113D45">
        <w:rPr>
          <w:color w:val="000000"/>
          <w:shd w:val="clear" w:color="auto" w:fill="FFFFFF"/>
        </w:rPr>
        <w:t>,</w:t>
      </w:r>
      <w:r w:rsidR="001E648B">
        <w:rPr>
          <w:color w:val="000000"/>
          <w:shd w:val="clear" w:color="auto" w:fill="FFFFFF"/>
        </w:rPr>
        <w:t xml:space="preserve"> attenuated derivatives of </w:t>
      </w:r>
      <w:proofErr w:type="spellStart"/>
      <w:r w:rsidR="001E648B">
        <w:rPr>
          <w:color w:val="000000"/>
          <w:shd w:val="clear" w:color="auto" w:fill="FFFFFF"/>
        </w:rPr>
        <w:t>fowlpox</w:t>
      </w:r>
      <w:proofErr w:type="spellEnd"/>
      <w:r w:rsidR="001E648B">
        <w:rPr>
          <w:color w:val="000000"/>
          <w:shd w:val="clear" w:color="auto" w:fill="FFFFFF"/>
        </w:rPr>
        <w:t xml:space="preserve"> virus (TROVAC) and canarypox virus (ALVAC)</w:t>
      </w:r>
      <w:r w:rsidRPr="001E648B">
        <w:rPr>
          <w:rFonts w:cstheme="minorHAnsi"/>
          <w:i/>
        </w:rPr>
        <w:t>.</w:t>
      </w:r>
    </w:p>
    <w:p w14:paraId="21A1CAEB" w14:textId="77777777" w:rsidR="00BF6F42" w:rsidRPr="001E648B" w:rsidRDefault="00BF6F42" w:rsidP="00AC6CF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720"/>
        <w:rPr>
          <w:rFonts w:cstheme="minorHAnsi"/>
        </w:rPr>
      </w:pPr>
      <w:r w:rsidRPr="001E648B">
        <w:rPr>
          <w:rStyle w:val="Strong"/>
          <w:rFonts w:cstheme="minorHAnsi"/>
          <w:b w:val="0"/>
        </w:rPr>
        <w:t>Replication-competent</w:t>
      </w:r>
      <w:r w:rsidRPr="001E648B">
        <w:rPr>
          <w:rFonts w:cstheme="minorHAnsi"/>
        </w:rPr>
        <w:t xml:space="preserve"> poxvirus strains </w:t>
      </w:r>
      <w:proofErr w:type="gramStart"/>
      <w:r w:rsidRPr="001E648B">
        <w:rPr>
          <w:rFonts w:cstheme="minorHAnsi"/>
        </w:rPr>
        <w:t>are capable of causing</w:t>
      </w:r>
      <w:proofErr w:type="gramEnd"/>
      <w:r w:rsidRPr="001E648B">
        <w:rPr>
          <w:rFonts w:cstheme="minorHAnsi"/>
        </w:rPr>
        <w:t xml:space="preserve"> clinical infection in humans as well as producing infectious virus that can be transmitted to other people. </w:t>
      </w:r>
      <w:r w:rsidR="001E648B" w:rsidRPr="001E648B">
        <w:rPr>
          <w:rFonts w:cstheme="minorHAnsi"/>
        </w:rPr>
        <w:t>Non-highly a</w:t>
      </w:r>
      <w:r w:rsidR="00AC6CFB" w:rsidRPr="001E648B">
        <w:rPr>
          <w:rFonts w:cstheme="minorHAnsi"/>
        </w:rPr>
        <w:t xml:space="preserve">ttenuated </w:t>
      </w:r>
      <w:r w:rsidRPr="001E648B">
        <w:rPr>
          <w:rStyle w:val="Emphasis"/>
          <w:rFonts w:cstheme="minorHAnsi"/>
          <w:i w:val="0"/>
        </w:rPr>
        <w:t>Vaccinia virus</w:t>
      </w:r>
      <w:r w:rsidRPr="001E648B">
        <w:rPr>
          <w:rFonts w:cstheme="minorHAnsi"/>
        </w:rPr>
        <w:t> strains commonly used in laboratories include Western Reserve</w:t>
      </w:r>
      <w:r w:rsidR="00AC6CFB" w:rsidRPr="001E648B">
        <w:rPr>
          <w:rFonts w:cstheme="minorHAnsi"/>
        </w:rPr>
        <w:t xml:space="preserve"> (WR)</w:t>
      </w:r>
      <w:r w:rsidRPr="001E648B">
        <w:rPr>
          <w:rFonts w:cstheme="minorHAnsi"/>
        </w:rPr>
        <w:t xml:space="preserve">, Copenhagen, </w:t>
      </w:r>
      <w:r w:rsidR="00AC6CFB" w:rsidRPr="001E648B">
        <w:rPr>
          <w:rFonts w:cstheme="minorHAnsi"/>
        </w:rPr>
        <w:t>New York City Board of Health (</w:t>
      </w:r>
      <w:r w:rsidRPr="001E648B">
        <w:rPr>
          <w:rFonts w:cstheme="minorHAnsi"/>
        </w:rPr>
        <w:t>NYCBOH</w:t>
      </w:r>
      <w:r w:rsidR="00AC6CFB" w:rsidRPr="001E648B">
        <w:rPr>
          <w:rFonts w:cstheme="minorHAnsi"/>
        </w:rPr>
        <w:t>)</w:t>
      </w:r>
      <w:r w:rsidRPr="001E648B">
        <w:rPr>
          <w:rFonts w:cstheme="minorHAnsi"/>
        </w:rPr>
        <w:t>, Lister, and Temple of Heaven. Replication-competent strains </w:t>
      </w:r>
      <w:r w:rsidRPr="001E648B">
        <w:rPr>
          <w:rStyle w:val="Strong"/>
          <w:rFonts w:cstheme="minorHAnsi"/>
          <w:b w:val="0"/>
        </w:rPr>
        <w:t>may or may not have a TK gene knockout</w:t>
      </w:r>
      <w:r w:rsidRPr="001E648B">
        <w:rPr>
          <w:rFonts w:cstheme="minorHAnsi"/>
        </w:rPr>
        <w:t>. Indeed, a majority of reported exposures to </w:t>
      </w:r>
      <w:r w:rsidRPr="001E648B">
        <w:rPr>
          <w:rStyle w:val="Emphasis"/>
          <w:rFonts w:cstheme="minorHAnsi"/>
          <w:i w:val="0"/>
        </w:rPr>
        <w:t>Vaccinia virus </w:t>
      </w:r>
      <w:r w:rsidRPr="001E648B">
        <w:rPr>
          <w:rFonts w:cstheme="minorHAnsi"/>
        </w:rPr>
        <w:t xml:space="preserve">and subsequent infections involve a TK gene knockout strain. All wild-type </w:t>
      </w:r>
      <w:proofErr w:type="spellStart"/>
      <w:r w:rsidRPr="001E648B">
        <w:rPr>
          <w:rFonts w:cstheme="minorHAnsi"/>
        </w:rPr>
        <w:t>orthopoxviruses</w:t>
      </w:r>
      <w:proofErr w:type="spellEnd"/>
      <w:r w:rsidRPr="001E648B">
        <w:rPr>
          <w:rFonts w:cstheme="minorHAnsi"/>
        </w:rPr>
        <w:t xml:space="preserve"> are replication competent.</w:t>
      </w:r>
    </w:p>
    <w:p w14:paraId="56F2613A" w14:textId="77777777" w:rsidR="00E22D2C" w:rsidRDefault="00E22D2C" w:rsidP="00E22D2C">
      <w:pPr>
        <w:pStyle w:val="ListParagraph"/>
        <w:numPr>
          <w:ilvl w:val="0"/>
          <w:numId w:val="1"/>
        </w:numPr>
        <w:ind w:left="360"/>
      </w:pPr>
      <w:r>
        <w:rPr>
          <w:bCs/>
        </w:rPr>
        <w:t>Mode of transmission</w:t>
      </w:r>
      <w:r w:rsidRPr="00E22D2C">
        <w:t>: The virus can be spread through the contact of a recently vaccinated individual with an unvaccinated person. Contact of a </w:t>
      </w:r>
      <w:r w:rsidRPr="001E648B">
        <w:rPr>
          <w:iCs/>
        </w:rPr>
        <w:t>vaccinia</w:t>
      </w:r>
      <w:r w:rsidRPr="001E648B">
        <w:t> </w:t>
      </w:r>
      <w:r w:rsidRPr="00E22D2C">
        <w:t>virus lesion and broken skin is the most common mode of transmission between humans, although it has been shown that human-to-cattle and cattle-to-human transmission can occur, usually by touching the cow's teats.</w:t>
      </w:r>
    </w:p>
    <w:p w14:paraId="2B88CF54" w14:textId="77777777" w:rsidR="00892393" w:rsidRDefault="005249B4" w:rsidP="001E648B">
      <w:pPr>
        <w:pStyle w:val="ListParagraph"/>
        <w:numPr>
          <w:ilvl w:val="0"/>
          <w:numId w:val="1"/>
        </w:numPr>
        <w:ind w:left="360"/>
        <w:rPr>
          <w:rFonts w:cstheme="minorHAnsi"/>
          <w:shd w:val="clear" w:color="auto" w:fill="FFFFFF"/>
        </w:rPr>
      </w:pPr>
      <w:r w:rsidRPr="005249B4">
        <w:rPr>
          <w:rFonts w:cstheme="minorHAnsi"/>
          <w:shd w:val="clear" w:color="auto" w:fill="FFFFFF"/>
        </w:rPr>
        <w:t>In laboratory settings, common exposures are through accidental inoculation (needle sticks), contact with broken skin, contact with mucous membranes (e.g., ocular splashes) or inhalation.</w:t>
      </w:r>
    </w:p>
    <w:p w14:paraId="3A869A84" w14:textId="77777777" w:rsidR="005249B4" w:rsidRDefault="005249B4" w:rsidP="005249B4">
      <w:pPr>
        <w:pStyle w:val="ListParagraph"/>
        <w:numPr>
          <w:ilvl w:val="0"/>
          <w:numId w:val="1"/>
        </w:numPr>
        <w:ind w:left="360"/>
      </w:pPr>
      <w:r w:rsidRPr="00E22D2C">
        <w:t>Laboratory-acquired infections with standard, mutant, or bioengineered forms of vaccinia virus have occurred, even in previously vaccinated lab</w:t>
      </w:r>
      <w:r>
        <w:t xml:space="preserve"> workers</w:t>
      </w:r>
      <w:r w:rsidRPr="00E22D2C">
        <w:t>.</w:t>
      </w:r>
    </w:p>
    <w:p w14:paraId="58E27AFD" w14:textId="77777777" w:rsidR="00113D45" w:rsidRDefault="001E648B" w:rsidP="004F62FC">
      <w:pPr>
        <w:pStyle w:val="ListParagraph"/>
        <w:numPr>
          <w:ilvl w:val="0"/>
          <w:numId w:val="1"/>
        </w:numPr>
        <w:ind w:left="360"/>
      </w:pPr>
      <w:r w:rsidRPr="00AC6CFB">
        <w:rPr>
          <w:rStyle w:val="Strong"/>
          <w:rFonts w:cstheme="minorHAnsi"/>
          <w:b w:val="0"/>
        </w:rPr>
        <w:t>Replication-competent</w:t>
      </w:r>
      <w:r w:rsidRPr="00AC6CFB">
        <w:rPr>
          <w:rFonts w:cstheme="minorHAnsi"/>
        </w:rPr>
        <w:t> </w:t>
      </w:r>
      <w:r w:rsidR="00892393" w:rsidRPr="00892393">
        <w:t xml:space="preserve">strains of </w:t>
      </w:r>
      <w:r w:rsidR="005249B4" w:rsidRPr="005249B4">
        <w:rPr>
          <w:rFonts w:cstheme="minorHAnsi"/>
          <w:iCs/>
        </w:rPr>
        <w:t>vaccinia</w:t>
      </w:r>
      <w:r w:rsidR="005249B4" w:rsidRPr="005249B4">
        <w:rPr>
          <w:rFonts w:cstheme="minorHAnsi"/>
        </w:rPr>
        <w:t> virus</w:t>
      </w:r>
      <w:r w:rsidR="00892393" w:rsidRPr="00892393">
        <w:t xml:space="preserve"> are potentially pathogenic in humans</w:t>
      </w:r>
      <w:r w:rsidR="005249B4">
        <w:t>. Therefore</w:t>
      </w:r>
      <w:r w:rsidR="00892393" w:rsidRPr="00892393">
        <w:t xml:space="preserve"> biosafety level 2 </w:t>
      </w:r>
      <w:r w:rsidR="005249B4">
        <w:t>containment</w:t>
      </w:r>
      <w:r w:rsidR="00892393" w:rsidRPr="00892393">
        <w:t xml:space="preserve"> </w:t>
      </w:r>
      <w:r>
        <w:t>and v</w:t>
      </w:r>
      <w:r w:rsidRPr="00892393">
        <w:t xml:space="preserve">accination </w:t>
      </w:r>
      <w:r>
        <w:t>of all lab workers (every 10 years) handling these n</w:t>
      </w:r>
      <w:r>
        <w:rPr>
          <w:rFonts w:cstheme="minorHAnsi"/>
        </w:rPr>
        <w:t>on-highly a</w:t>
      </w:r>
      <w:r w:rsidRPr="00AC6CFB">
        <w:rPr>
          <w:rFonts w:cstheme="minorHAnsi"/>
        </w:rPr>
        <w:t>ttenuated</w:t>
      </w:r>
      <w:r>
        <w:t xml:space="preserve"> strains </w:t>
      </w:r>
      <w:r w:rsidR="00892393" w:rsidRPr="00892393">
        <w:t xml:space="preserve">are </w:t>
      </w:r>
      <w:r>
        <w:t>recommended</w:t>
      </w:r>
      <w:r w:rsidR="00892393">
        <w:t>.</w:t>
      </w:r>
      <w:r w:rsidR="00113D45">
        <w:t xml:space="preserve"> Infected animals require ABSL2 containment.</w:t>
      </w:r>
      <w:r w:rsidR="004F62FC">
        <w:t xml:space="preserve"> </w:t>
      </w:r>
      <w:r w:rsidR="00113D45">
        <w:t xml:space="preserve">Use personal protective equipment (PPE) as described in the associated SOP 2.0. </w:t>
      </w:r>
    </w:p>
    <w:p w14:paraId="03952F3B" w14:textId="77777777" w:rsidR="00424D4B" w:rsidRDefault="00113D45" w:rsidP="005846A1">
      <w:pPr>
        <w:pStyle w:val="ListParagraph"/>
        <w:numPr>
          <w:ilvl w:val="0"/>
          <w:numId w:val="1"/>
        </w:numPr>
        <w:ind w:left="360"/>
      </w:pPr>
      <w:r>
        <w:t xml:space="preserve">Biosafety Level 1 practices and procedures are recommended for work with highly attenuated vaccinia strains in areas where no other human </w:t>
      </w:r>
      <w:proofErr w:type="spellStart"/>
      <w:r>
        <w:t>orthopoxviruses</w:t>
      </w:r>
      <w:proofErr w:type="spellEnd"/>
      <w:r>
        <w:t xml:space="preserve"> are being used.</w:t>
      </w:r>
      <w:r w:rsidR="004F62FC">
        <w:t xml:space="preserve"> Use personal protective equipment (PPE) as described in the associated SOP 1.0.</w:t>
      </w:r>
    </w:p>
    <w:p w14:paraId="0D418C74" w14:textId="77777777" w:rsidR="00975352" w:rsidRPr="00113D45" w:rsidRDefault="00975352" w:rsidP="00113D45">
      <w:pPr>
        <w:spacing w:after="0"/>
        <w:rPr>
          <w:u w:val="single"/>
        </w:rPr>
      </w:pPr>
      <w:r w:rsidRPr="00113D45">
        <w:rPr>
          <w:u w:val="single"/>
        </w:rPr>
        <w:t>Reference</w:t>
      </w:r>
    </w:p>
    <w:p w14:paraId="26B60373" w14:textId="77777777" w:rsidR="00975352" w:rsidRDefault="00000000" w:rsidP="00113D45">
      <w:pPr>
        <w:spacing w:after="0"/>
      </w:pPr>
      <w:hyperlink r:id="rId5" w:history="1">
        <w:r w:rsidR="00975352" w:rsidRPr="00975352">
          <w:rPr>
            <w:rStyle w:val="Hyperlink"/>
          </w:rPr>
          <w:t>https://www.canada.ca/en/public-health/services/laboratory-biosafety-biosecurity/pathogen-safety-data-sheets-risk-assessment/vaccinia-virus.html</w:t>
        </w:r>
      </w:hyperlink>
    </w:p>
    <w:p w14:paraId="2FAF2D4B" w14:textId="77777777" w:rsidR="00AC6CFB" w:rsidRDefault="00000000" w:rsidP="00113D45">
      <w:pPr>
        <w:spacing w:after="0"/>
      </w:pPr>
      <w:hyperlink r:id="rId6" w:history="1">
        <w:r w:rsidR="00AC6CFB">
          <w:rPr>
            <w:rStyle w:val="Hyperlink"/>
          </w:rPr>
          <w:t>https://www.cdc.gov/poxvirus/occupational-exposures/index.html</w:t>
        </w:r>
      </w:hyperlink>
    </w:p>
    <w:p w14:paraId="6E6959E7" w14:textId="77777777" w:rsidR="00975352" w:rsidRDefault="00000000" w:rsidP="00113D45">
      <w:pPr>
        <w:spacing w:after="0" w:line="240" w:lineRule="auto"/>
      </w:pPr>
      <w:hyperlink r:id="rId7" w:history="1">
        <w:r w:rsidR="00975352" w:rsidRPr="00975352">
          <w:rPr>
            <w:rStyle w:val="Hyperlink"/>
          </w:rPr>
          <w:t>https://www.sciencedirect.com/science/article/pii/S0042682208007976</w:t>
        </w:r>
      </w:hyperlink>
    </w:p>
    <w:p w14:paraId="5AAAF3F1" w14:textId="77777777" w:rsidR="00113D45" w:rsidRDefault="00113D45" w:rsidP="00113D45">
      <w:pPr>
        <w:spacing w:after="0" w:line="240" w:lineRule="auto"/>
        <w:rPr>
          <w:u w:val="single"/>
        </w:rPr>
      </w:pPr>
    </w:p>
    <w:p w14:paraId="6B5D5CA9" w14:textId="77777777" w:rsidR="00D31B5B" w:rsidRPr="00D31B5B" w:rsidRDefault="00D31B5B" w:rsidP="00F57744">
      <w:pPr>
        <w:spacing w:after="0" w:line="276" w:lineRule="auto"/>
        <w:rPr>
          <w:u w:val="single"/>
        </w:rPr>
      </w:pPr>
      <w:r w:rsidRPr="00D31B5B">
        <w:rPr>
          <w:u w:val="single"/>
        </w:rPr>
        <w:t>Enter the following information:</w:t>
      </w:r>
    </w:p>
    <w:p w14:paraId="77B89FC0" w14:textId="77777777" w:rsidR="00D31B5B" w:rsidRPr="00D31B5B" w:rsidRDefault="00D31B5B" w:rsidP="00F57744">
      <w:pPr>
        <w:numPr>
          <w:ilvl w:val="0"/>
          <w:numId w:val="2"/>
        </w:numPr>
        <w:spacing w:after="0" w:line="276" w:lineRule="auto"/>
      </w:pPr>
      <w:r w:rsidRPr="00D31B5B">
        <w:t>Name of the Principal Investigator: ________________________________</w:t>
      </w:r>
      <w:r w:rsidR="00113D45">
        <w:softHyphen/>
        <w:t>_________________</w:t>
      </w:r>
    </w:p>
    <w:p w14:paraId="00D5795F" w14:textId="77777777" w:rsidR="00D31B5B" w:rsidRPr="00D31B5B" w:rsidRDefault="00D31B5B" w:rsidP="00F57744">
      <w:pPr>
        <w:numPr>
          <w:ilvl w:val="0"/>
          <w:numId w:val="2"/>
        </w:numPr>
        <w:spacing w:after="0" w:line="276" w:lineRule="auto"/>
      </w:pPr>
      <w:r w:rsidRPr="00D31B5B">
        <w:t>Applicable IBC protocol number(s) (approved or submitted): ______________</w:t>
      </w:r>
      <w:r w:rsidR="00113D45">
        <w:t>___________</w:t>
      </w:r>
      <w:r w:rsidRPr="00D31B5B">
        <w:t>___</w:t>
      </w:r>
    </w:p>
    <w:p w14:paraId="189DE54A" w14:textId="77777777" w:rsidR="00D31B5B" w:rsidRPr="00D31B5B" w:rsidRDefault="00D31B5B" w:rsidP="00F57744">
      <w:pPr>
        <w:numPr>
          <w:ilvl w:val="0"/>
          <w:numId w:val="2"/>
        </w:numPr>
        <w:spacing w:after="0" w:line="276" w:lineRule="auto"/>
      </w:pPr>
      <w:r w:rsidRPr="00D31B5B">
        <w:t xml:space="preserve">List the laboratory work locations (Building/room[s]) for </w:t>
      </w:r>
      <w:r w:rsidR="00F57744">
        <w:t>vaccinia virus</w:t>
      </w:r>
      <w:r>
        <w:t xml:space="preserve"> (WR</w:t>
      </w:r>
      <w:r w:rsidR="00F57744">
        <w:t xml:space="preserve"> strain</w:t>
      </w:r>
      <w:r>
        <w:t>)</w:t>
      </w:r>
      <w:r w:rsidRPr="00D31B5B">
        <w:t>, a BSL2 agent:</w:t>
      </w:r>
    </w:p>
    <w:p w14:paraId="7C720F10" w14:textId="77777777" w:rsidR="00D31B5B" w:rsidRPr="00D31B5B" w:rsidRDefault="00D31B5B" w:rsidP="00F57744">
      <w:pPr>
        <w:numPr>
          <w:ilvl w:val="0"/>
          <w:numId w:val="3"/>
        </w:numPr>
        <w:spacing w:after="0" w:line="276" w:lineRule="auto"/>
      </w:pPr>
      <w:r w:rsidRPr="00D31B5B">
        <w:t>Procedures:_________________________________ and Storage: _____________________</w:t>
      </w:r>
    </w:p>
    <w:p w14:paraId="3EB8D395" w14:textId="77777777" w:rsidR="00D31B5B" w:rsidRPr="00D31B5B" w:rsidRDefault="00D31B5B" w:rsidP="00F57744">
      <w:pPr>
        <w:numPr>
          <w:ilvl w:val="0"/>
          <w:numId w:val="2"/>
        </w:numPr>
        <w:spacing w:after="0" w:line="276" w:lineRule="auto"/>
      </w:pPr>
      <w:r w:rsidRPr="00D31B5B">
        <w:t>List the animal facility building/room(s) for</w:t>
      </w:r>
      <w:r>
        <w:t xml:space="preserve"> </w:t>
      </w:r>
      <w:r w:rsidR="00F57744">
        <w:t>vaccinia virus (WR strain)</w:t>
      </w:r>
      <w:r w:rsidRPr="00D31B5B">
        <w:t>, ABSL2 containment:</w:t>
      </w:r>
    </w:p>
    <w:p w14:paraId="5399D99D" w14:textId="77777777" w:rsidR="00D31B5B" w:rsidRPr="00D31B5B" w:rsidRDefault="00D31B5B" w:rsidP="00F57744">
      <w:pPr>
        <w:numPr>
          <w:ilvl w:val="0"/>
          <w:numId w:val="3"/>
        </w:numPr>
        <w:spacing w:after="0" w:line="276" w:lineRule="auto"/>
      </w:pPr>
      <w:r w:rsidRPr="00D31B5B">
        <w:t>Procedures:_________________________________ and Housing:_____________________</w:t>
      </w:r>
    </w:p>
    <w:p w14:paraId="503E37BF" w14:textId="77777777" w:rsidR="00F57744" w:rsidRDefault="00F57744" w:rsidP="00F57744">
      <w:pPr>
        <w:spacing w:after="0" w:line="276" w:lineRule="auto"/>
        <w:ind w:left="720"/>
      </w:pPr>
    </w:p>
    <w:p w14:paraId="7DED80CF" w14:textId="77777777" w:rsidR="00D31B5B" w:rsidRPr="00D31B5B" w:rsidRDefault="00D31B5B" w:rsidP="00F57744">
      <w:pPr>
        <w:spacing w:after="0" w:line="276" w:lineRule="auto"/>
        <w:ind w:left="720"/>
      </w:pPr>
      <w:r w:rsidRPr="00D31B5B">
        <w:t>*Note: confirm with ULAR that the rooms listed above are suitable for ABSL2 animals.</w:t>
      </w:r>
    </w:p>
    <w:p w14:paraId="1B739105" w14:textId="77777777" w:rsidR="00E22D2C" w:rsidRDefault="00D31B5B" w:rsidP="00F57744">
      <w:pPr>
        <w:spacing w:after="0" w:line="276" w:lineRule="auto"/>
        <w:ind w:left="720"/>
      </w:pPr>
      <w:r w:rsidRPr="00D31B5B">
        <w:t>Date of Agent Summary form completion: _______________________________</w:t>
      </w:r>
    </w:p>
    <w:sectPr w:rsidR="00E22D2C" w:rsidSect="004F62FC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71A7"/>
    <w:multiLevelType w:val="hybridMultilevel"/>
    <w:tmpl w:val="47C0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68FB"/>
    <w:multiLevelType w:val="hybridMultilevel"/>
    <w:tmpl w:val="23BAE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EC6B99"/>
    <w:multiLevelType w:val="hybridMultilevel"/>
    <w:tmpl w:val="39ACD31A"/>
    <w:lvl w:ilvl="0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58EC258A"/>
    <w:multiLevelType w:val="multilevel"/>
    <w:tmpl w:val="9AA6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C0D0A"/>
    <w:multiLevelType w:val="hybridMultilevel"/>
    <w:tmpl w:val="E8D6D78E"/>
    <w:lvl w:ilvl="0" w:tplc="B63804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37474">
    <w:abstractNumId w:val="0"/>
  </w:num>
  <w:num w:numId="2" w16cid:durableId="468012280">
    <w:abstractNumId w:val="4"/>
  </w:num>
  <w:num w:numId="3" w16cid:durableId="699546903">
    <w:abstractNumId w:val="1"/>
  </w:num>
  <w:num w:numId="4" w16cid:durableId="1322083886">
    <w:abstractNumId w:val="3"/>
  </w:num>
  <w:num w:numId="5" w16cid:durableId="144889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2C"/>
    <w:rsid w:val="00113D45"/>
    <w:rsid w:val="001E648B"/>
    <w:rsid w:val="002D5965"/>
    <w:rsid w:val="002E1F5F"/>
    <w:rsid w:val="003452F6"/>
    <w:rsid w:val="003F653B"/>
    <w:rsid w:val="00424D4B"/>
    <w:rsid w:val="004E3C18"/>
    <w:rsid w:val="004F62FC"/>
    <w:rsid w:val="005249B4"/>
    <w:rsid w:val="00717786"/>
    <w:rsid w:val="00830B13"/>
    <w:rsid w:val="00892393"/>
    <w:rsid w:val="00975352"/>
    <w:rsid w:val="00A100EB"/>
    <w:rsid w:val="00AC6CFB"/>
    <w:rsid w:val="00BF6F42"/>
    <w:rsid w:val="00D22C80"/>
    <w:rsid w:val="00D31B5B"/>
    <w:rsid w:val="00E22D2C"/>
    <w:rsid w:val="00F55B67"/>
    <w:rsid w:val="00F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3289"/>
  <w15:chartTrackingRefBased/>
  <w15:docId w15:val="{43C5EC42-164C-44BB-92D7-22EA67C0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D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D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239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F6F42"/>
    <w:rPr>
      <w:b/>
      <w:bCs/>
    </w:rPr>
  </w:style>
  <w:style w:type="character" w:styleId="Emphasis">
    <w:name w:val="Emphasis"/>
    <w:basedOn w:val="DefaultParagraphFont"/>
    <w:uiPriority w:val="20"/>
    <w:qFormat/>
    <w:rsid w:val="00BF6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042682208007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poxvirus/occupational-exposures/index.html" TargetMode="External"/><Relationship Id="rId5" Type="http://schemas.openxmlformats.org/officeDocument/2006/relationships/hyperlink" Target="https://www.canada.ca/en/public-health/services/laboratory-biosafety-biosecurity/pathogen-safety-data-sheets-risk-assessment/vaccinia-viru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 Khan</dc:creator>
  <cp:keywords/>
  <dc:description/>
  <cp:lastModifiedBy>Mary B. Pultro</cp:lastModifiedBy>
  <cp:revision>2</cp:revision>
  <dcterms:created xsi:type="dcterms:W3CDTF">2023-10-31T17:22:00Z</dcterms:created>
  <dcterms:modified xsi:type="dcterms:W3CDTF">2023-10-31T17:22:00Z</dcterms:modified>
</cp:coreProperties>
</file>