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A1AC" w14:textId="77777777" w:rsidR="00022B4F" w:rsidRDefault="00924683" w:rsidP="00F42F0C">
      <w:pPr>
        <w:jc w:val="center"/>
        <w:rPr>
          <w:rFonts w:cstheme="minorHAnsi"/>
          <w:b/>
          <w:iCs/>
          <w:sz w:val="28"/>
          <w:szCs w:val="28"/>
        </w:rPr>
      </w:pPr>
      <w:r w:rsidRPr="000C33C1">
        <w:rPr>
          <w:b/>
          <w:sz w:val="28"/>
          <w:szCs w:val="28"/>
        </w:rPr>
        <w:t xml:space="preserve">Agent Summary: </w:t>
      </w:r>
      <w:r w:rsidR="000C33C1" w:rsidRPr="000C33C1">
        <w:rPr>
          <w:rFonts w:ascii="Symbol" w:hAnsi="Symbol" w:cstheme="minorHAnsi"/>
          <w:b/>
          <w:iCs/>
          <w:sz w:val="28"/>
          <w:szCs w:val="28"/>
        </w:rPr>
        <w:t></w:t>
      </w:r>
      <w:r w:rsidR="000C33C1" w:rsidRPr="000C33C1">
        <w:rPr>
          <w:rFonts w:cstheme="minorHAnsi"/>
          <w:b/>
          <w:iCs/>
          <w:sz w:val="28"/>
          <w:szCs w:val="28"/>
        </w:rPr>
        <w:t xml:space="preserve">-conotoxin </w:t>
      </w:r>
      <w:proofErr w:type="spellStart"/>
      <w:r w:rsidR="000C33C1" w:rsidRPr="000C33C1">
        <w:rPr>
          <w:rFonts w:cstheme="minorHAnsi"/>
          <w:b/>
          <w:iCs/>
          <w:sz w:val="28"/>
          <w:szCs w:val="28"/>
        </w:rPr>
        <w:t>AuIB</w:t>
      </w:r>
      <w:proofErr w:type="spellEnd"/>
    </w:p>
    <w:p w14:paraId="252C032D" w14:textId="77777777" w:rsidR="00E5122D" w:rsidRPr="000C33C1" w:rsidRDefault="00E5122D" w:rsidP="00F42F0C">
      <w:pPr>
        <w:jc w:val="center"/>
        <w:rPr>
          <w:b/>
          <w:sz w:val="28"/>
          <w:szCs w:val="28"/>
        </w:rPr>
      </w:pPr>
    </w:p>
    <w:p w14:paraId="248297F6" w14:textId="77777777" w:rsidR="005607CC" w:rsidRPr="00F26AE8" w:rsidRDefault="006F36A0" w:rsidP="00022B4F">
      <w:pPr>
        <w:spacing w:after="0" w:line="276" w:lineRule="auto"/>
        <w:jc w:val="both"/>
        <w:rPr>
          <w:b/>
        </w:rPr>
      </w:pPr>
      <w:r w:rsidRPr="00F26AE8">
        <w:rPr>
          <w:b/>
        </w:rPr>
        <w:t xml:space="preserve">Agent </w:t>
      </w:r>
      <w:r w:rsidR="00022B4F" w:rsidRPr="00F26AE8">
        <w:rPr>
          <w:b/>
        </w:rPr>
        <w:t>information:</w:t>
      </w:r>
    </w:p>
    <w:p w14:paraId="410C7E33" w14:textId="77777777" w:rsidR="000C33C1" w:rsidRPr="000C33C1" w:rsidRDefault="000C33C1" w:rsidP="000C33C1">
      <w:pPr>
        <w:pStyle w:val="ListParagraph"/>
        <w:numPr>
          <w:ilvl w:val="0"/>
          <w:numId w:val="1"/>
        </w:numPr>
        <w:autoSpaceDE w:val="0"/>
        <w:autoSpaceDN w:val="0"/>
        <w:adjustRightInd w:val="0"/>
        <w:spacing w:after="0" w:line="240" w:lineRule="auto"/>
        <w:rPr>
          <w:rFonts w:cstheme="minorHAnsi"/>
        </w:rPr>
      </w:pPr>
      <w:r w:rsidRPr="00370447">
        <w:rPr>
          <w:rFonts w:ascii="Calibri" w:eastAsia="Calibri" w:hAnsi="Calibri" w:cs="Times New Roman"/>
        </w:rPr>
        <w:t>Conotoxins are polypeptides, typically 10-30 amino acids long and stabilized by distinct patterns of disulfide bonds, that have been isolated from the toxic venom of marine snails and shown to be neurologically active or toxic in mammals</w:t>
      </w:r>
      <w:r>
        <w:rPr>
          <w:rFonts w:ascii="Calibri" w:eastAsia="Calibri" w:hAnsi="Calibri" w:cs="Times New Roman"/>
        </w:rPr>
        <w:t>.</w:t>
      </w:r>
    </w:p>
    <w:p w14:paraId="17524F75" w14:textId="77777777" w:rsidR="00992EBA" w:rsidRDefault="00992EBA" w:rsidP="00992EBA">
      <w:pPr>
        <w:pStyle w:val="ListParagraph"/>
        <w:numPr>
          <w:ilvl w:val="0"/>
          <w:numId w:val="1"/>
        </w:numPr>
        <w:autoSpaceDE w:val="0"/>
        <w:autoSpaceDN w:val="0"/>
        <w:adjustRightInd w:val="0"/>
        <w:spacing w:after="0" w:line="240" w:lineRule="auto"/>
        <w:rPr>
          <w:rFonts w:cstheme="minorHAnsi"/>
          <w:iCs/>
        </w:rPr>
      </w:pPr>
      <w:r w:rsidRPr="000C33C1">
        <w:rPr>
          <w:rFonts w:ascii="Symbol" w:hAnsi="Symbol" w:cstheme="minorHAnsi"/>
          <w:iCs/>
        </w:rPr>
        <w:t></w:t>
      </w:r>
      <w:r w:rsidR="000C33C1">
        <w:rPr>
          <w:rFonts w:cstheme="minorHAnsi"/>
          <w:iCs/>
        </w:rPr>
        <w:t>-c</w:t>
      </w:r>
      <w:r w:rsidRPr="00992EBA">
        <w:rPr>
          <w:rFonts w:cstheme="minorHAnsi"/>
          <w:iCs/>
        </w:rPr>
        <w:t>onotoxins (alpha-</w:t>
      </w:r>
      <w:proofErr w:type="spellStart"/>
      <w:r w:rsidRPr="00992EBA">
        <w:rPr>
          <w:rFonts w:cstheme="minorHAnsi"/>
          <w:iCs/>
        </w:rPr>
        <w:t>CgTxs</w:t>
      </w:r>
      <w:proofErr w:type="spellEnd"/>
      <w:r w:rsidRPr="00992EBA">
        <w:rPr>
          <w:rFonts w:cstheme="minorHAnsi"/>
          <w:iCs/>
        </w:rPr>
        <w:t xml:space="preserve">) are a family of </w:t>
      </w:r>
      <w:proofErr w:type="spellStart"/>
      <w:r w:rsidRPr="00992EBA">
        <w:rPr>
          <w:rFonts w:cstheme="minorHAnsi"/>
          <w:iCs/>
        </w:rPr>
        <w:t>Cys</w:t>
      </w:r>
      <w:proofErr w:type="spellEnd"/>
      <w:r w:rsidRPr="00992EBA">
        <w:rPr>
          <w:rFonts w:cstheme="minorHAnsi"/>
          <w:iCs/>
        </w:rPr>
        <w:t xml:space="preserve">-enriched peptides found in several marine snails from the genus Conus. </w:t>
      </w:r>
    </w:p>
    <w:p w14:paraId="4BBF08AE" w14:textId="77777777" w:rsidR="00022B4F" w:rsidRDefault="00992EBA" w:rsidP="00992EBA">
      <w:pPr>
        <w:pStyle w:val="ListParagraph"/>
        <w:numPr>
          <w:ilvl w:val="0"/>
          <w:numId w:val="1"/>
        </w:numPr>
        <w:autoSpaceDE w:val="0"/>
        <w:autoSpaceDN w:val="0"/>
        <w:adjustRightInd w:val="0"/>
        <w:spacing w:after="0" w:line="240" w:lineRule="auto"/>
        <w:rPr>
          <w:rFonts w:cstheme="minorHAnsi"/>
          <w:iCs/>
        </w:rPr>
      </w:pPr>
      <w:r w:rsidRPr="00992EBA">
        <w:rPr>
          <w:rFonts w:cstheme="minorHAnsi"/>
          <w:iCs/>
        </w:rPr>
        <w:t>These small peptides behave pharmacologically as competitive antagonists of the nicotinic acetylcholine receptor (</w:t>
      </w:r>
      <w:proofErr w:type="spellStart"/>
      <w:r w:rsidRPr="00992EBA">
        <w:rPr>
          <w:rFonts w:cstheme="minorHAnsi"/>
          <w:iCs/>
        </w:rPr>
        <w:t>AChR</w:t>
      </w:r>
      <w:proofErr w:type="spellEnd"/>
      <w:r w:rsidRPr="00992EBA">
        <w:rPr>
          <w:rFonts w:cstheme="minorHAnsi"/>
          <w:iCs/>
        </w:rPr>
        <w:t>).</w:t>
      </w:r>
    </w:p>
    <w:p w14:paraId="7ABCD87E" w14:textId="77777777" w:rsidR="00FA559D" w:rsidRDefault="000C33C1" w:rsidP="00992EBA">
      <w:pPr>
        <w:pStyle w:val="ListParagraph"/>
        <w:numPr>
          <w:ilvl w:val="0"/>
          <w:numId w:val="1"/>
        </w:numPr>
        <w:autoSpaceDE w:val="0"/>
        <w:autoSpaceDN w:val="0"/>
        <w:adjustRightInd w:val="0"/>
        <w:spacing w:after="0" w:line="240" w:lineRule="auto"/>
        <w:rPr>
          <w:rFonts w:cstheme="minorHAnsi"/>
          <w:iCs/>
        </w:rPr>
      </w:pPr>
      <w:r w:rsidRPr="000C33C1">
        <w:rPr>
          <w:rFonts w:ascii="Symbol" w:hAnsi="Symbol" w:cstheme="minorHAnsi"/>
          <w:iCs/>
        </w:rPr>
        <w:t></w:t>
      </w:r>
      <w:r w:rsidR="00626B67" w:rsidRPr="00626B67">
        <w:rPr>
          <w:rFonts w:cstheme="minorHAnsi"/>
          <w:iCs/>
        </w:rPr>
        <w:t xml:space="preserve">-conotoxin </w:t>
      </w:r>
      <w:proofErr w:type="spellStart"/>
      <w:r w:rsidR="00626B67" w:rsidRPr="00626B67">
        <w:rPr>
          <w:rFonts w:cstheme="minorHAnsi"/>
          <w:iCs/>
        </w:rPr>
        <w:t>AuIB</w:t>
      </w:r>
      <w:proofErr w:type="spellEnd"/>
      <w:r w:rsidR="00626B67" w:rsidRPr="00626B67">
        <w:rPr>
          <w:rFonts w:cstheme="minorHAnsi"/>
          <w:iCs/>
        </w:rPr>
        <w:t xml:space="preserve"> blocks the alpha3 beta4 receptor with &gt;100-fold higher potency than other receptor subunit combinations, including alpha2 beta2, alpha2 beta4, alpha3 beta2, alpha4 beta2, alpha4 beta4, and alpha1 beta1 gamma delta. </w:t>
      </w:r>
      <w:r w:rsidR="002A1547" w:rsidRPr="002A1547">
        <w:rPr>
          <w:rFonts w:cstheme="minorHAnsi"/>
          <w:iCs/>
        </w:rPr>
        <w:t xml:space="preserve">Thus, </w:t>
      </w:r>
      <w:proofErr w:type="spellStart"/>
      <w:r w:rsidR="002A1547" w:rsidRPr="002A1547">
        <w:rPr>
          <w:rFonts w:cstheme="minorHAnsi"/>
          <w:iCs/>
        </w:rPr>
        <w:t>AuIB</w:t>
      </w:r>
      <w:proofErr w:type="spellEnd"/>
      <w:r w:rsidR="002A1547" w:rsidRPr="002A1547">
        <w:rPr>
          <w:rFonts w:cstheme="minorHAnsi"/>
          <w:iCs/>
        </w:rPr>
        <w:t xml:space="preserve"> is a novel, selective probe for alpha3 beta4 </w:t>
      </w:r>
      <w:proofErr w:type="spellStart"/>
      <w:r w:rsidR="002A1547" w:rsidRPr="002A1547">
        <w:rPr>
          <w:rFonts w:cstheme="minorHAnsi"/>
          <w:iCs/>
        </w:rPr>
        <w:t>nAChRs</w:t>
      </w:r>
      <w:proofErr w:type="spellEnd"/>
      <w:r w:rsidR="002A1547" w:rsidRPr="002A1547">
        <w:rPr>
          <w:rFonts w:cstheme="minorHAnsi"/>
          <w:iCs/>
        </w:rPr>
        <w:t>.</w:t>
      </w:r>
    </w:p>
    <w:p w14:paraId="39CA5F72" w14:textId="77777777" w:rsidR="000F1BCD" w:rsidRPr="00992EBA" w:rsidRDefault="001470AC" w:rsidP="00992EBA">
      <w:pPr>
        <w:pStyle w:val="ListParagraph"/>
        <w:numPr>
          <w:ilvl w:val="0"/>
          <w:numId w:val="1"/>
        </w:numPr>
        <w:autoSpaceDE w:val="0"/>
        <w:autoSpaceDN w:val="0"/>
        <w:adjustRightInd w:val="0"/>
        <w:spacing w:after="0" w:line="240" w:lineRule="auto"/>
        <w:rPr>
          <w:rFonts w:cstheme="minorHAnsi"/>
          <w:iCs/>
        </w:rPr>
      </w:pPr>
      <w:r>
        <w:rPr>
          <w:rFonts w:cstheme="minorHAnsi"/>
          <w:iCs/>
        </w:rPr>
        <w:t>LD</w:t>
      </w:r>
      <w:r w:rsidR="000F1BCD" w:rsidRPr="000F1BCD">
        <w:rPr>
          <w:rFonts w:cstheme="minorHAnsi"/>
          <w:iCs/>
        </w:rPr>
        <w:t>50</w:t>
      </w:r>
      <w:r w:rsidR="000F1BCD">
        <w:rPr>
          <w:rFonts w:cstheme="minorHAnsi"/>
          <w:iCs/>
        </w:rPr>
        <w:t xml:space="preserve"> </w:t>
      </w:r>
      <w:r w:rsidR="000F1BCD" w:rsidRPr="000F1BCD">
        <w:rPr>
          <w:rFonts w:cstheme="minorHAnsi"/>
          <w:iCs/>
        </w:rPr>
        <w:t xml:space="preserve">for </w:t>
      </w:r>
      <w:r w:rsidRPr="000C33C1">
        <w:rPr>
          <w:rFonts w:ascii="Symbol" w:hAnsi="Symbol" w:cstheme="minorHAnsi"/>
          <w:iCs/>
        </w:rPr>
        <w:t></w:t>
      </w:r>
      <w:r>
        <w:rPr>
          <w:rFonts w:cstheme="minorHAnsi"/>
          <w:iCs/>
        </w:rPr>
        <w:t>-c</w:t>
      </w:r>
      <w:r w:rsidRPr="00992EBA">
        <w:rPr>
          <w:rFonts w:cstheme="minorHAnsi"/>
          <w:iCs/>
        </w:rPr>
        <w:t>onotoxin</w:t>
      </w:r>
      <w:r w:rsidRPr="000F1BCD">
        <w:rPr>
          <w:rFonts w:cstheme="minorHAnsi"/>
          <w:iCs/>
        </w:rPr>
        <w:t xml:space="preserve"> </w:t>
      </w:r>
      <w:r w:rsidR="000F1BCD" w:rsidRPr="000F1BCD">
        <w:rPr>
          <w:rFonts w:cstheme="minorHAnsi"/>
          <w:iCs/>
        </w:rPr>
        <w:t xml:space="preserve">is 10 </w:t>
      </w:r>
      <w:r>
        <w:rPr>
          <w:rFonts w:cstheme="minorHAnsi"/>
          <w:iCs/>
        </w:rPr>
        <w:t xml:space="preserve">- </w:t>
      </w:r>
      <w:r w:rsidR="000F1BCD" w:rsidRPr="000F1BCD">
        <w:rPr>
          <w:rFonts w:cstheme="minorHAnsi"/>
          <w:iCs/>
        </w:rPr>
        <w:t>100ug/kg in laboratory mice.</w:t>
      </w:r>
    </w:p>
    <w:p w14:paraId="23BC740E" w14:textId="77777777" w:rsidR="00965CA3" w:rsidRPr="00924683" w:rsidRDefault="00D24ACD" w:rsidP="00924683">
      <w:pPr>
        <w:pStyle w:val="ListParagraph"/>
        <w:numPr>
          <w:ilvl w:val="0"/>
          <w:numId w:val="1"/>
        </w:numPr>
        <w:autoSpaceDE w:val="0"/>
        <w:autoSpaceDN w:val="0"/>
        <w:adjustRightInd w:val="0"/>
        <w:spacing w:after="0" w:line="240" w:lineRule="auto"/>
        <w:rPr>
          <w:rFonts w:cstheme="minorHAnsi"/>
        </w:rPr>
      </w:pPr>
      <w:r w:rsidRPr="00370447">
        <w:rPr>
          <w:rFonts w:cstheme="minorHAnsi"/>
        </w:rPr>
        <w:t>Mode of transmission</w:t>
      </w:r>
      <w:r w:rsidR="00FA559D" w:rsidRPr="00370447">
        <w:rPr>
          <w:rFonts w:cstheme="minorHAnsi"/>
        </w:rPr>
        <w:t xml:space="preserve">: </w:t>
      </w:r>
      <w:r w:rsidR="000C33C1">
        <w:rPr>
          <w:rFonts w:cstheme="minorHAnsi"/>
        </w:rPr>
        <w:t>i</w:t>
      </w:r>
      <w:r w:rsidR="00FA559D" w:rsidRPr="00370447">
        <w:rPr>
          <w:rFonts w:cstheme="minorHAnsi"/>
        </w:rPr>
        <w:t>ngestion, parenteral, inoculation, skin and eye contamination, and droplet or aerosol exposure of mucous membranes are the primary hazards to laboratory and animal care personnel.</w:t>
      </w:r>
    </w:p>
    <w:p w14:paraId="0FBCF62F" w14:textId="77777777" w:rsidR="002839F1" w:rsidRPr="00626B67" w:rsidRDefault="00965CA3" w:rsidP="00626B67">
      <w:pPr>
        <w:pStyle w:val="ListParagraph"/>
        <w:numPr>
          <w:ilvl w:val="0"/>
          <w:numId w:val="1"/>
        </w:numPr>
        <w:autoSpaceDE w:val="0"/>
        <w:autoSpaceDN w:val="0"/>
        <w:adjustRightInd w:val="0"/>
        <w:spacing w:after="0" w:line="240" w:lineRule="auto"/>
        <w:rPr>
          <w:rFonts w:ascii="Calibri" w:eastAsia="Calibri" w:hAnsi="Calibri" w:cs="Times New Roman"/>
        </w:rPr>
      </w:pPr>
      <w:r>
        <w:rPr>
          <w:rFonts w:cstheme="minorHAnsi"/>
        </w:rPr>
        <w:t>Clinical manifestations</w:t>
      </w:r>
      <w:r w:rsidR="00FA559D">
        <w:rPr>
          <w:rFonts w:cstheme="minorHAnsi"/>
        </w:rPr>
        <w:t xml:space="preserve">: </w:t>
      </w:r>
      <w:r w:rsidR="000C33C1">
        <w:rPr>
          <w:rFonts w:cstheme="minorHAnsi"/>
        </w:rPr>
        <w:t>t</w:t>
      </w:r>
      <w:r w:rsidR="00FA559D" w:rsidRPr="00FA559D">
        <w:rPr>
          <w:rFonts w:ascii="Calibri" w:eastAsia="Calibri" w:hAnsi="Calibri" w:cs="Times New Roman"/>
        </w:rPr>
        <w:t>he onset of symptoms is almost immediate upon injection. Common symptoms include localized pain, swelling, numbness, and ischem</w:t>
      </w:r>
      <w:r w:rsidR="00011FB3">
        <w:rPr>
          <w:rFonts w:ascii="Calibri" w:eastAsia="Calibri" w:hAnsi="Calibri" w:cs="Times New Roman"/>
        </w:rPr>
        <w:t>ia at the injection site.</w:t>
      </w:r>
      <w:r w:rsidR="000C33C1">
        <w:rPr>
          <w:rFonts w:ascii="Calibri" w:eastAsia="Calibri" w:hAnsi="Calibri" w:cs="Times New Roman"/>
        </w:rPr>
        <w:t xml:space="preserve"> </w:t>
      </w:r>
      <w:r w:rsidR="00FA559D" w:rsidRPr="00FA559D">
        <w:rPr>
          <w:rFonts w:ascii="Calibri" w:eastAsia="Calibri" w:hAnsi="Calibri" w:cs="Times New Roman"/>
        </w:rPr>
        <w:t>The numbness, swelling, and tingling may spread rapidly from the injection site to involve the entire body.</w:t>
      </w:r>
      <w:r w:rsidR="00FA559D">
        <w:rPr>
          <w:rFonts w:ascii="Calibri" w:eastAsia="Calibri" w:hAnsi="Calibri" w:cs="Times New Roman"/>
        </w:rPr>
        <w:t xml:space="preserve"> </w:t>
      </w:r>
      <w:r w:rsidR="00FA559D" w:rsidRPr="00FA559D">
        <w:rPr>
          <w:rFonts w:ascii="Calibri" w:eastAsia="Calibri" w:hAnsi="Calibri" w:cs="Times New Roman"/>
        </w:rPr>
        <w:t>Respiratory depression is a significant feature of conotoxin exposure. Death results from respiratory paralysis. Abdominal cramping and nausea are common effects.</w:t>
      </w:r>
    </w:p>
    <w:p w14:paraId="5F3D2C49" w14:textId="77777777" w:rsidR="003C4339" w:rsidRDefault="000C33C1" w:rsidP="002839F1">
      <w:pPr>
        <w:pStyle w:val="ListParagraph"/>
        <w:numPr>
          <w:ilvl w:val="0"/>
          <w:numId w:val="2"/>
        </w:numPr>
        <w:autoSpaceDE w:val="0"/>
        <w:autoSpaceDN w:val="0"/>
        <w:adjustRightInd w:val="0"/>
        <w:spacing w:after="0" w:line="240" w:lineRule="auto"/>
        <w:rPr>
          <w:rFonts w:cstheme="minorHAnsi"/>
        </w:rPr>
      </w:pPr>
      <w:r w:rsidRPr="000C33C1">
        <w:rPr>
          <w:rFonts w:ascii="Symbol" w:hAnsi="Symbol" w:cstheme="minorHAnsi"/>
          <w:iCs/>
        </w:rPr>
        <w:t></w:t>
      </w:r>
      <w:r>
        <w:rPr>
          <w:rFonts w:cstheme="minorHAnsi"/>
          <w:iCs/>
        </w:rPr>
        <w:t>-c</w:t>
      </w:r>
      <w:r w:rsidR="00626B67" w:rsidRPr="00626B67">
        <w:rPr>
          <w:rFonts w:cstheme="minorHAnsi"/>
          <w:iCs/>
        </w:rPr>
        <w:t xml:space="preserve">onotoxins </w:t>
      </w:r>
      <w:r>
        <w:rPr>
          <w:rFonts w:cstheme="minorHAnsi"/>
          <w:iCs/>
        </w:rPr>
        <w:t>are</w:t>
      </w:r>
      <w:r w:rsidR="00626B67">
        <w:rPr>
          <w:rFonts w:cstheme="minorHAnsi"/>
        </w:rPr>
        <w:t xml:space="preserve"> se</w:t>
      </w:r>
      <w:r w:rsidR="00011FB3">
        <w:rPr>
          <w:rFonts w:cstheme="minorHAnsi"/>
        </w:rPr>
        <w:t>lect biological</w:t>
      </w:r>
      <w:r w:rsidR="00626B67">
        <w:rPr>
          <w:rFonts w:cstheme="minorHAnsi"/>
        </w:rPr>
        <w:t xml:space="preserve"> </w:t>
      </w:r>
      <w:r w:rsidR="00F26AE8">
        <w:rPr>
          <w:rFonts w:cstheme="minorHAnsi"/>
        </w:rPr>
        <w:t>agent</w:t>
      </w:r>
      <w:r>
        <w:rPr>
          <w:rFonts w:cstheme="minorHAnsi"/>
        </w:rPr>
        <w:t>s</w:t>
      </w:r>
      <w:r w:rsidR="00F26AE8">
        <w:rPr>
          <w:rFonts w:cstheme="minorHAnsi"/>
        </w:rPr>
        <w:t xml:space="preserve"> and require </w:t>
      </w:r>
      <w:r w:rsidR="002839F1" w:rsidRPr="00D24ACD">
        <w:rPr>
          <w:rFonts w:cstheme="minorHAnsi"/>
        </w:rPr>
        <w:t xml:space="preserve">biosafety level2 </w:t>
      </w:r>
      <w:r w:rsidR="00F26AE8">
        <w:rPr>
          <w:rFonts w:cstheme="minorHAnsi"/>
        </w:rPr>
        <w:t xml:space="preserve">containment </w:t>
      </w:r>
      <w:r w:rsidR="002839F1" w:rsidRPr="00D24ACD">
        <w:rPr>
          <w:rFonts w:cstheme="minorHAnsi"/>
        </w:rPr>
        <w:t>(BSL2).</w:t>
      </w:r>
      <w:r w:rsidR="00011FB3">
        <w:rPr>
          <w:rFonts w:cstheme="minorHAnsi"/>
        </w:rPr>
        <w:t xml:space="preserve"> </w:t>
      </w:r>
    </w:p>
    <w:p w14:paraId="48D8C3BC" w14:textId="77777777" w:rsidR="002839F1" w:rsidRPr="003C4339" w:rsidRDefault="003C4339" w:rsidP="003C4339">
      <w:pPr>
        <w:pStyle w:val="ListParagraph"/>
        <w:numPr>
          <w:ilvl w:val="0"/>
          <w:numId w:val="2"/>
        </w:numPr>
        <w:autoSpaceDE w:val="0"/>
        <w:autoSpaceDN w:val="0"/>
        <w:adjustRightInd w:val="0"/>
        <w:spacing w:after="0" w:line="240" w:lineRule="auto"/>
        <w:rPr>
          <w:rFonts w:cstheme="minorHAnsi"/>
        </w:rPr>
      </w:pPr>
      <w:r>
        <w:rPr>
          <w:rFonts w:cstheme="minorHAnsi"/>
        </w:rPr>
        <w:t>Use personal protective equipment (PPE) as des</w:t>
      </w:r>
      <w:r w:rsidR="00F15CA2">
        <w:rPr>
          <w:rFonts w:cstheme="minorHAnsi"/>
        </w:rPr>
        <w:t>cribed in the associated SOP for Biological Toxin</w:t>
      </w:r>
      <w:r w:rsidR="000C33C1">
        <w:rPr>
          <w:rFonts w:cstheme="minorHAnsi"/>
        </w:rPr>
        <w:t>s</w:t>
      </w:r>
      <w:r>
        <w:rPr>
          <w:rFonts w:cstheme="minorHAnsi"/>
        </w:rPr>
        <w:t>.</w:t>
      </w:r>
      <w:r w:rsidR="00F26AE8" w:rsidRPr="003C4339">
        <w:rPr>
          <w:rFonts w:cstheme="minorHAnsi"/>
        </w:rPr>
        <w:t xml:space="preserve"> </w:t>
      </w:r>
    </w:p>
    <w:p w14:paraId="3ED9ED9F" w14:textId="77777777" w:rsidR="00CA5AC9" w:rsidRDefault="00CA5AC9" w:rsidP="00022B4F">
      <w:pPr>
        <w:autoSpaceDE w:val="0"/>
        <w:autoSpaceDN w:val="0"/>
        <w:adjustRightInd w:val="0"/>
        <w:spacing w:after="0" w:line="240" w:lineRule="auto"/>
        <w:rPr>
          <w:rFonts w:cstheme="minorHAnsi"/>
          <w:b/>
        </w:rPr>
      </w:pPr>
    </w:p>
    <w:p w14:paraId="497DBCEF" w14:textId="77777777" w:rsidR="00F42F0C" w:rsidRPr="00F42F0C" w:rsidRDefault="00F42F0C" w:rsidP="00022B4F">
      <w:pPr>
        <w:autoSpaceDE w:val="0"/>
        <w:autoSpaceDN w:val="0"/>
        <w:adjustRightInd w:val="0"/>
        <w:spacing w:after="0" w:line="240" w:lineRule="auto"/>
        <w:rPr>
          <w:rFonts w:cstheme="minorHAnsi"/>
          <w:b/>
        </w:rPr>
      </w:pPr>
      <w:r w:rsidRPr="00F42F0C">
        <w:rPr>
          <w:rFonts w:cstheme="minorHAnsi"/>
          <w:b/>
        </w:rPr>
        <w:t>References:</w:t>
      </w:r>
    </w:p>
    <w:p w14:paraId="77C6044C" w14:textId="77777777" w:rsidR="001470AC" w:rsidRPr="001470AC" w:rsidRDefault="0069394D" w:rsidP="0069394D">
      <w:pPr>
        <w:pStyle w:val="ListParagraph"/>
        <w:numPr>
          <w:ilvl w:val="0"/>
          <w:numId w:val="12"/>
        </w:numPr>
        <w:ind w:left="720"/>
        <w:rPr>
          <w:rFonts w:cstheme="minorHAnsi"/>
          <w:b/>
        </w:rPr>
      </w:pPr>
      <w:hyperlink r:id="rId5" w:tooltip="The international journal of biochemistry &amp; cell biology." w:history="1">
        <w:r w:rsidR="001470AC" w:rsidRPr="0069394D">
          <w:rPr>
            <w:rStyle w:val="Hyperlink"/>
            <w:rFonts w:cstheme="minorHAnsi"/>
            <w:i/>
          </w:rPr>
          <w:t>Alpha-conotoxins</w:t>
        </w:r>
        <w:r w:rsidR="001470AC" w:rsidRPr="0069394D">
          <w:rPr>
            <w:rStyle w:val="Hyperlink"/>
            <w:rFonts w:cstheme="minorHAnsi"/>
          </w:rPr>
          <w:t>,</w:t>
        </w:r>
        <w:r w:rsidRPr="0069394D">
          <w:rPr>
            <w:rStyle w:val="Hyperlink"/>
            <w:rFonts w:cstheme="minorHAnsi"/>
          </w:rPr>
          <w:t xml:space="preserve"> Arias HR and Blanton MP.</w:t>
        </w:r>
        <w:r w:rsidR="001470AC" w:rsidRPr="0069394D">
          <w:rPr>
            <w:rStyle w:val="Hyperlink"/>
            <w:rFonts w:cstheme="minorHAnsi"/>
          </w:rPr>
          <w:t xml:space="preserve"> </w:t>
        </w:r>
        <w:r w:rsidR="001470AC" w:rsidRPr="0069394D">
          <w:rPr>
            <w:rStyle w:val="Hyperlink"/>
            <w:rFonts w:cstheme="minorHAnsi"/>
            <w:shd w:val="clear" w:color="auto" w:fill="FFFFFF"/>
          </w:rPr>
          <w:t xml:space="preserve">Int J </w:t>
        </w:r>
        <w:proofErr w:type="spellStart"/>
        <w:r w:rsidR="001470AC" w:rsidRPr="0069394D">
          <w:rPr>
            <w:rStyle w:val="Hyperlink"/>
            <w:rFonts w:cstheme="minorHAnsi"/>
            <w:shd w:val="clear" w:color="auto" w:fill="FFFFFF"/>
          </w:rPr>
          <w:t>Biochem</w:t>
        </w:r>
        <w:proofErr w:type="spellEnd"/>
        <w:r w:rsidR="001470AC" w:rsidRPr="0069394D">
          <w:rPr>
            <w:rStyle w:val="Hyperlink"/>
            <w:rFonts w:cstheme="minorHAnsi"/>
            <w:shd w:val="clear" w:color="auto" w:fill="FFFFFF"/>
          </w:rPr>
          <w:t xml:space="preserve"> Cell Biol.; 32(10):1017-28, 2000</w:t>
        </w:r>
      </w:hyperlink>
    </w:p>
    <w:p w14:paraId="029FD1E5" w14:textId="77777777" w:rsidR="0069394D" w:rsidRPr="0069394D" w:rsidRDefault="00000000" w:rsidP="0069394D">
      <w:pPr>
        <w:pStyle w:val="ListParagraph"/>
        <w:numPr>
          <w:ilvl w:val="0"/>
          <w:numId w:val="11"/>
        </w:numPr>
        <w:shd w:val="clear" w:color="auto" w:fill="FFFFFF"/>
        <w:spacing w:before="120" w:after="120" w:line="300" w:lineRule="atLeast"/>
        <w:outlineLvl w:val="0"/>
        <w:rPr>
          <w:rFonts w:eastAsia="Times New Roman" w:cstheme="minorHAnsi"/>
          <w:bCs/>
          <w:color w:val="000000"/>
          <w:kern w:val="36"/>
        </w:rPr>
      </w:pPr>
      <w:hyperlink r:id="rId6" w:history="1">
        <w:r w:rsidR="0069394D" w:rsidRPr="0069394D">
          <w:rPr>
            <w:rStyle w:val="Hyperlink"/>
            <w:rFonts w:eastAsia="Times New Roman" w:cstheme="minorHAnsi"/>
            <w:bCs/>
            <w:i/>
            <w:kern w:val="36"/>
          </w:rPr>
          <w:t xml:space="preserve">Alpha-conotoxin </w:t>
        </w:r>
        <w:proofErr w:type="spellStart"/>
        <w:r w:rsidR="0069394D" w:rsidRPr="0069394D">
          <w:rPr>
            <w:rStyle w:val="Hyperlink"/>
            <w:rFonts w:eastAsia="Times New Roman" w:cstheme="minorHAnsi"/>
            <w:bCs/>
            <w:i/>
            <w:kern w:val="36"/>
          </w:rPr>
          <w:t>AuIB</w:t>
        </w:r>
        <w:proofErr w:type="spellEnd"/>
        <w:r w:rsidR="0069394D" w:rsidRPr="0069394D">
          <w:rPr>
            <w:rStyle w:val="Hyperlink"/>
            <w:rFonts w:eastAsia="Times New Roman" w:cstheme="minorHAnsi"/>
            <w:bCs/>
            <w:i/>
            <w:kern w:val="36"/>
          </w:rPr>
          <w:t xml:space="preserve"> selectively blocks alpha3 beta4 nicotinic acetylcholine receptors and nicotine-evoked norepinephrine release</w:t>
        </w:r>
        <w:r w:rsidR="00E5122D">
          <w:rPr>
            <w:rStyle w:val="Hyperlink"/>
            <w:rFonts w:eastAsia="Times New Roman" w:cstheme="minorHAnsi"/>
            <w:bCs/>
            <w:kern w:val="36"/>
          </w:rPr>
          <w:t>,</w:t>
        </w:r>
        <w:r w:rsidR="0069394D" w:rsidRPr="0069394D">
          <w:rPr>
            <w:rStyle w:val="Hyperlink"/>
            <w:rFonts w:eastAsia="Times New Roman" w:cstheme="minorHAnsi"/>
            <w:bCs/>
            <w:kern w:val="36"/>
          </w:rPr>
          <w:t xml:space="preserve"> Luo S. et al. </w:t>
        </w:r>
        <w:r w:rsidR="0069394D" w:rsidRPr="0069394D">
          <w:rPr>
            <w:rStyle w:val="Hyperlink"/>
            <w:rFonts w:cstheme="minorHAnsi"/>
            <w:shd w:val="clear" w:color="auto" w:fill="FFFFFF"/>
          </w:rPr>
          <w:t>J Neurosci.;18(21):8571-9, 1998</w:t>
        </w:r>
      </w:hyperlink>
    </w:p>
    <w:p w14:paraId="09CF12AF" w14:textId="77777777" w:rsidR="00A93BF0" w:rsidRPr="009C25E9" w:rsidRDefault="00A93BF0" w:rsidP="00A93BF0">
      <w:pPr>
        <w:pStyle w:val="ListParagraph"/>
        <w:numPr>
          <w:ilvl w:val="0"/>
          <w:numId w:val="11"/>
        </w:numPr>
        <w:autoSpaceDE w:val="0"/>
        <w:autoSpaceDN w:val="0"/>
        <w:adjustRightInd w:val="0"/>
        <w:spacing w:after="0" w:line="240" w:lineRule="auto"/>
        <w:rPr>
          <w:rFonts w:cstheme="minorHAnsi"/>
          <w:u w:val="single"/>
        </w:rPr>
      </w:pPr>
      <w:r w:rsidRPr="009C25E9">
        <w:rPr>
          <w:rFonts w:cstheme="minorHAnsi"/>
        </w:rPr>
        <w:t>Biosafety in Microbiological and Biomedical Laboratories-6</w:t>
      </w:r>
      <w:r w:rsidRPr="009C25E9">
        <w:rPr>
          <w:rFonts w:cstheme="minorHAnsi"/>
          <w:vertAlign w:val="superscript"/>
        </w:rPr>
        <w:t>th</w:t>
      </w:r>
      <w:r w:rsidRPr="009C25E9">
        <w:rPr>
          <w:rFonts w:cstheme="minorHAnsi"/>
        </w:rPr>
        <w:t xml:space="preserve"> Edition (BMBL 6). U.S. Department of Health and Human Services, CDC, NIH </w:t>
      </w:r>
      <w:r>
        <w:rPr>
          <w:rFonts w:cstheme="minorHAnsi"/>
        </w:rPr>
        <w:t>(</w:t>
      </w:r>
      <w:hyperlink r:id="rId7" w:history="1">
        <w:r w:rsidRPr="007E7DF3">
          <w:rPr>
            <w:rStyle w:val="Hyperlink"/>
            <w:rFonts w:eastAsia="Times New Roman" w:cstheme="minorHAnsi"/>
            <w:bCs/>
            <w:kern w:val="36"/>
          </w:rPr>
          <w:t>https://www.cdc.gov/labs/pdf/CDC-BiosafetyMicrobiologicalBiomedicalLaboratories-2020-P.pdf</w:t>
        </w:r>
      </w:hyperlink>
      <w:r>
        <w:rPr>
          <w:rFonts w:eastAsia="Times New Roman" w:cstheme="minorHAnsi"/>
          <w:bCs/>
          <w:kern w:val="36"/>
        </w:rPr>
        <w:t>)</w:t>
      </w:r>
    </w:p>
    <w:p w14:paraId="741EE1D3" w14:textId="77777777" w:rsidR="0069394D" w:rsidRPr="0069394D" w:rsidRDefault="00000000" w:rsidP="000F1BCD">
      <w:pPr>
        <w:pStyle w:val="ListParagraph"/>
        <w:numPr>
          <w:ilvl w:val="0"/>
          <w:numId w:val="11"/>
        </w:numPr>
        <w:tabs>
          <w:tab w:val="left" w:pos="1350"/>
          <w:tab w:val="left" w:pos="2520"/>
          <w:tab w:val="left" w:pos="2880"/>
          <w:tab w:val="left" w:pos="2970"/>
          <w:tab w:val="left" w:pos="3330"/>
          <w:tab w:val="left" w:pos="3600"/>
        </w:tabs>
        <w:rPr>
          <w:b/>
          <w:i/>
        </w:rPr>
      </w:pPr>
      <w:hyperlink r:id="rId8" w:history="1">
        <w:r w:rsidR="0069394D" w:rsidRPr="00E5122D">
          <w:rPr>
            <w:rStyle w:val="Hyperlink"/>
            <w:i/>
          </w:rPr>
          <w:t>Conotoxins: Potential Weapons from the Sea</w:t>
        </w:r>
        <w:r w:rsidR="00E5122D" w:rsidRPr="00E5122D">
          <w:rPr>
            <w:rStyle w:val="Hyperlink"/>
            <w:i/>
          </w:rPr>
          <w:t>,</w:t>
        </w:r>
        <w:r w:rsidR="00E5122D" w:rsidRPr="00E5122D">
          <w:rPr>
            <w:rStyle w:val="Hyperlink"/>
          </w:rPr>
          <w:t xml:space="preserve"> Anderson PD and Bokor </w:t>
        </w:r>
        <w:proofErr w:type="gramStart"/>
        <w:r w:rsidR="00E5122D" w:rsidRPr="00E5122D">
          <w:rPr>
            <w:rStyle w:val="Hyperlink"/>
          </w:rPr>
          <w:t>G. ,</w:t>
        </w:r>
        <w:proofErr w:type="gramEnd"/>
        <w:r w:rsidR="00E5122D" w:rsidRPr="00E5122D">
          <w:rPr>
            <w:rStyle w:val="Hyperlink"/>
          </w:rPr>
          <w:t xml:space="preserve"> J </w:t>
        </w:r>
        <w:proofErr w:type="spellStart"/>
        <w:r w:rsidR="00E5122D" w:rsidRPr="00E5122D">
          <w:rPr>
            <w:rStyle w:val="Hyperlink"/>
          </w:rPr>
          <w:t>Bioterr</w:t>
        </w:r>
        <w:proofErr w:type="spellEnd"/>
        <w:r w:rsidR="00E5122D" w:rsidRPr="00E5122D">
          <w:rPr>
            <w:rStyle w:val="Hyperlink"/>
          </w:rPr>
          <w:t xml:space="preserve"> </w:t>
        </w:r>
        <w:proofErr w:type="spellStart"/>
        <w:r w:rsidR="00E5122D" w:rsidRPr="00E5122D">
          <w:rPr>
            <w:rStyle w:val="Hyperlink"/>
          </w:rPr>
          <w:t>Biodef</w:t>
        </w:r>
        <w:proofErr w:type="spellEnd"/>
        <w:r w:rsidR="00E5122D" w:rsidRPr="00E5122D">
          <w:rPr>
            <w:rStyle w:val="Hyperlink"/>
          </w:rPr>
          <w:t xml:space="preserve"> 2012, 3:3.</w:t>
        </w:r>
      </w:hyperlink>
    </w:p>
    <w:p w14:paraId="5FCA49A5" w14:textId="77777777" w:rsidR="00523E79" w:rsidRDefault="00523E79" w:rsidP="00022B4F">
      <w:pPr>
        <w:autoSpaceDE w:val="0"/>
        <w:autoSpaceDN w:val="0"/>
        <w:adjustRightInd w:val="0"/>
        <w:spacing w:after="0" w:line="240" w:lineRule="auto"/>
      </w:pPr>
    </w:p>
    <w:p w14:paraId="6E7831A7" w14:textId="77777777" w:rsidR="00CA5AC9" w:rsidRPr="00CA5AC9" w:rsidRDefault="00CA5AC9" w:rsidP="00CA5AC9">
      <w:pPr>
        <w:spacing w:after="0" w:line="276" w:lineRule="auto"/>
        <w:jc w:val="both"/>
        <w:rPr>
          <w:u w:val="single"/>
        </w:rPr>
      </w:pPr>
      <w:r w:rsidRPr="00CA5AC9">
        <w:rPr>
          <w:u w:val="single"/>
        </w:rPr>
        <w:t>Enter the following information:</w:t>
      </w:r>
    </w:p>
    <w:p w14:paraId="1415D765" w14:textId="77777777" w:rsidR="00CA5AC9" w:rsidRDefault="00CA5AC9" w:rsidP="00CA5AC9">
      <w:pPr>
        <w:pStyle w:val="ListParagraph"/>
        <w:numPr>
          <w:ilvl w:val="0"/>
          <w:numId w:val="5"/>
        </w:numPr>
        <w:spacing w:after="0" w:line="276" w:lineRule="auto"/>
        <w:jc w:val="both"/>
      </w:pPr>
      <w:r>
        <w:t>Name of the Principle Investigator: ________________________________</w:t>
      </w:r>
      <w:r>
        <w:rPr>
          <w:u w:val="single"/>
        </w:rPr>
        <w:t xml:space="preserve">       </w:t>
      </w:r>
      <w:r>
        <w:t>__</w:t>
      </w:r>
    </w:p>
    <w:p w14:paraId="24F4FDC2" w14:textId="77777777" w:rsidR="00CA5AC9" w:rsidRDefault="00CA5AC9" w:rsidP="00CA5AC9">
      <w:pPr>
        <w:pStyle w:val="ListParagraph"/>
        <w:numPr>
          <w:ilvl w:val="0"/>
          <w:numId w:val="5"/>
        </w:numPr>
        <w:spacing w:after="0" w:line="276" w:lineRule="auto"/>
        <w:jc w:val="both"/>
      </w:pPr>
      <w:r>
        <w:t>Applicable IBC protocol number(s) (approved or submitted): _________________</w:t>
      </w:r>
    </w:p>
    <w:p w14:paraId="65B7BA90" w14:textId="77777777" w:rsidR="00CA5AC9" w:rsidRPr="001239FE" w:rsidRDefault="00CA5AC9" w:rsidP="00CA5AC9">
      <w:pPr>
        <w:pStyle w:val="ListParagraph"/>
        <w:numPr>
          <w:ilvl w:val="0"/>
          <w:numId w:val="5"/>
        </w:numPr>
        <w:autoSpaceDE w:val="0"/>
        <w:autoSpaceDN w:val="0"/>
        <w:adjustRightInd w:val="0"/>
        <w:spacing w:after="0" w:line="240" w:lineRule="auto"/>
        <w:rPr>
          <w:rFonts w:cstheme="minorHAnsi"/>
        </w:rPr>
      </w:pPr>
      <w:r w:rsidRPr="001239FE">
        <w:rPr>
          <w:rFonts w:cstheme="minorHAnsi"/>
        </w:rPr>
        <w:t xml:space="preserve">List the laboratory work locations (Building/room[s]) for Influenza A, </w:t>
      </w:r>
      <w:r>
        <w:rPr>
          <w:rFonts w:cstheme="minorHAnsi"/>
        </w:rPr>
        <w:t xml:space="preserve">a </w:t>
      </w:r>
      <w:r w:rsidRPr="001239FE">
        <w:rPr>
          <w:rFonts w:cstheme="minorHAnsi"/>
        </w:rPr>
        <w:t>BSL2</w:t>
      </w:r>
      <w:r>
        <w:rPr>
          <w:rFonts w:cstheme="minorHAnsi"/>
        </w:rPr>
        <w:t xml:space="preserve"> agent</w:t>
      </w:r>
      <w:r w:rsidRPr="001239FE">
        <w:rPr>
          <w:rFonts w:cstheme="minorHAnsi"/>
        </w:rPr>
        <w:t>:</w:t>
      </w:r>
    </w:p>
    <w:p w14:paraId="547D2444" w14:textId="77777777" w:rsidR="00CA5AC9" w:rsidRPr="00F26AE8" w:rsidRDefault="00CA5AC9" w:rsidP="00CA5AC9">
      <w:pPr>
        <w:pStyle w:val="ListParagraph"/>
        <w:numPr>
          <w:ilvl w:val="0"/>
          <w:numId w:val="6"/>
        </w:numPr>
        <w:autoSpaceDE w:val="0"/>
        <w:autoSpaceDN w:val="0"/>
        <w:adjustRightInd w:val="0"/>
        <w:spacing w:after="0" w:line="240" w:lineRule="auto"/>
        <w:rPr>
          <w:rFonts w:cstheme="minorHAnsi"/>
        </w:rPr>
      </w:pPr>
      <w:r w:rsidRPr="00F26AE8">
        <w:rPr>
          <w:rFonts w:cstheme="minorHAnsi"/>
        </w:rPr>
        <w:t>Procedures:_________________________________ and Storage: _________________</w:t>
      </w:r>
      <w:r>
        <w:rPr>
          <w:rFonts w:cstheme="minorHAnsi"/>
        </w:rPr>
        <w:t>____</w:t>
      </w:r>
    </w:p>
    <w:p w14:paraId="5FE52B81" w14:textId="77777777" w:rsidR="00CA5AC9" w:rsidRPr="001239FE" w:rsidRDefault="00CA5AC9" w:rsidP="00CA5AC9">
      <w:pPr>
        <w:pStyle w:val="ListParagraph"/>
        <w:numPr>
          <w:ilvl w:val="0"/>
          <w:numId w:val="5"/>
        </w:numPr>
        <w:autoSpaceDE w:val="0"/>
        <w:autoSpaceDN w:val="0"/>
        <w:adjustRightInd w:val="0"/>
        <w:spacing w:after="0" w:line="240" w:lineRule="auto"/>
        <w:rPr>
          <w:rFonts w:cstheme="minorHAnsi"/>
        </w:rPr>
      </w:pPr>
      <w:r>
        <w:rPr>
          <w:rFonts w:cstheme="minorHAnsi"/>
        </w:rPr>
        <w:t xml:space="preserve">List </w:t>
      </w:r>
      <w:r w:rsidRPr="001239FE">
        <w:rPr>
          <w:rFonts w:cstheme="minorHAnsi"/>
        </w:rPr>
        <w:t>the animal facility building/room(s) for Influenza A, ABSL2</w:t>
      </w:r>
      <w:r>
        <w:rPr>
          <w:rFonts w:cstheme="minorHAnsi"/>
        </w:rPr>
        <w:t xml:space="preserve"> containment</w:t>
      </w:r>
      <w:r w:rsidRPr="001239FE">
        <w:rPr>
          <w:rFonts w:cstheme="minorHAnsi"/>
        </w:rPr>
        <w:t>:</w:t>
      </w:r>
    </w:p>
    <w:p w14:paraId="75C2D5CB" w14:textId="77777777" w:rsidR="00CA5AC9" w:rsidRPr="00F26AE8" w:rsidRDefault="00CA5AC9" w:rsidP="00CA5AC9">
      <w:pPr>
        <w:pStyle w:val="ListParagraph"/>
        <w:numPr>
          <w:ilvl w:val="0"/>
          <w:numId w:val="6"/>
        </w:numPr>
        <w:autoSpaceDE w:val="0"/>
        <w:autoSpaceDN w:val="0"/>
        <w:adjustRightInd w:val="0"/>
        <w:spacing w:after="0" w:line="240" w:lineRule="auto"/>
        <w:rPr>
          <w:rFonts w:cstheme="minorHAnsi"/>
        </w:rPr>
      </w:pPr>
      <w:r w:rsidRPr="00F26AE8">
        <w:rPr>
          <w:rFonts w:cstheme="minorHAnsi"/>
        </w:rPr>
        <w:t xml:space="preserve">Procedures:_________________________________ and </w:t>
      </w:r>
      <w:r>
        <w:rPr>
          <w:rFonts w:cstheme="minorHAnsi"/>
        </w:rPr>
        <w:t>Housing</w:t>
      </w:r>
      <w:r w:rsidRPr="00F26AE8">
        <w:rPr>
          <w:rFonts w:cstheme="minorHAnsi"/>
        </w:rPr>
        <w:t>:_____________________</w:t>
      </w:r>
    </w:p>
    <w:p w14:paraId="4E90B618" w14:textId="77777777" w:rsidR="00CA5AC9" w:rsidRDefault="00CA5AC9" w:rsidP="00CA5AC9">
      <w:pPr>
        <w:autoSpaceDE w:val="0"/>
        <w:autoSpaceDN w:val="0"/>
        <w:adjustRightInd w:val="0"/>
        <w:spacing w:after="0" w:line="240" w:lineRule="auto"/>
        <w:ind w:left="360" w:firstLine="360"/>
        <w:rPr>
          <w:rFonts w:cstheme="minorHAnsi"/>
        </w:rPr>
      </w:pPr>
      <w:r>
        <w:rPr>
          <w:rFonts w:cstheme="minorHAnsi"/>
        </w:rPr>
        <w:t>*Note: confirm with ULAR that the rooms listed above are suitable for ABSL2 animals.</w:t>
      </w:r>
    </w:p>
    <w:p w14:paraId="20A69F8C" w14:textId="77777777" w:rsidR="00CA5AC9" w:rsidRPr="00CA5AC9" w:rsidRDefault="00CA5AC9" w:rsidP="00CA5AC9">
      <w:pPr>
        <w:pStyle w:val="ListParagraph"/>
        <w:numPr>
          <w:ilvl w:val="0"/>
          <w:numId w:val="5"/>
        </w:numPr>
        <w:spacing w:after="0" w:line="276" w:lineRule="auto"/>
        <w:jc w:val="both"/>
      </w:pPr>
      <w:r>
        <w:t>Date of Agent Summary form completion: _______________________________</w:t>
      </w:r>
    </w:p>
    <w:sectPr w:rsidR="00CA5AC9" w:rsidRPr="00CA5AC9" w:rsidSect="003C433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05E"/>
    <w:multiLevelType w:val="hybridMultilevel"/>
    <w:tmpl w:val="47C49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636E8"/>
    <w:multiLevelType w:val="hybridMultilevel"/>
    <w:tmpl w:val="2C24B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B79E3"/>
    <w:multiLevelType w:val="hybridMultilevel"/>
    <w:tmpl w:val="954E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02986"/>
    <w:multiLevelType w:val="hybridMultilevel"/>
    <w:tmpl w:val="7FD807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B401C"/>
    <w:multiLevelType w:val="hybridMultilevel"/>
    <w:tmpl w:val="53EC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31AC6"/>
    <w:multiLevelType w:val="hybridMultilevel"/>
    <w:tmpl w:val="83AE3C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768FB"/>
    <w:multiLevelType w:val="hybridMultilevel"/>
    <w:tmpl w:val="23BAE8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1652F"/>
    <w:multiLevelType w:val="hybridMultilevel"/>
    <w:tmpl w:val="F808D5E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17CFD"/>
    <w:multiLevelType w:val="hybridMultilevel"/>
    <w:tmpl w:val="A4A28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77E8A"/>
    <w:multiLevelType w:val="hybridMultilevel"/>
    <w:tmpl w:val="13AAC4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D594D"/>
    <w:multiLevelType w:val="hybridMultilevel"/>
    <w:tmpl w:val="CE9A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C0D0A"/>
    <w:multiLevelType w:val="hybridMultilevel"/>
    <w:tmpl w:val="E8D6D78E"/>
    <w:lvl w:ilvl="0" w:tplc="B63804A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470C4"/>
    <w:multiLevelType w:val="hybridMultilevel"/>
    <w:tmpl w:val="B716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435689">
    <w:abstractNumId w:val="2"/>
  </w:num>
  <w:num w:numId="2" w16cid:durableId="1905867721">
    <w:abstractNumId w:val="4"/>
  </w:num>
  <w:num w:numId="3" w16cid:durableId="618684105">
    <w:abstractNumId w:val="10"/>
  </w:num>
  <w:num w:numId="4" w16cid:durableId="746070938">
    <w:abstractNumId w:val="5"/>
  </w:num>
  <w:num w:numId="5" w16cid:durableId="1928344298">
    <w:abstractNumId w:val="11"/>
  </w:num>
  <w:num w:numId="6" w16cid:durableId="1400250729">
    <w:abstractNumId w:val="6"/>
  </w:num>
  <w:num w:numId="7" w16cid:durableId="1526212472">
    <w:abstractNumId w:val="1"/>
  </w:num>
  <w:num w:numId="8" w16cid:durableId="1220170539">
    <w:abstractNumId w:val="8"/>
  </w:num>
  <w:num w:numId="9" w16cid:durableId="1882017381">
    <w:abstractNumId w:val="3"/>
  </w:num>
  <w:num w:numId="10" w16cid:durableId="2026444383">
    <w:abstractNumId w:val="9"/>
  </w:num>
  <w:num w:numId="11" w16cid:durableId="361128856">
    <w:abstractNumId w:val="7"/>
  </w:num>
  <w:num w:numId="12" w16cid:durableId="14616598">
    <w:abstractNumId w:val="0"/>
  </w:num>
  <w:num w:numId="13" w16cid:durableId="19957220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4F"/>
    <w:rsid w:val="00011FB3"/>
    <w:rsid w:val="00022B4F"/>
    <w:rsid w:val="000C33C1"/>
    <w:rsid w:val="000F1BCD"/>
    <w:rsid w:val="00102F3C"/>
    <w:rsid w:val="001239FE"/>
    <w:rsid w:val="001470AC"/>
    <w:rsid w:val="00174F34"/>
    <w:rsid w:val="001B4ADA"/>
    <w:rsid w:val="00225829"/>
    <w:rsid w:val="002839F1"/>
    <w:rsid w:val="002A1547"/>
    <w:rsid w:val="002A5EBB"/>
    <w:rsid w:val="00370447"/>
    <w:rsid w:val="003C4339"/>
    <w:rsid w:val="00415D29"/>
    <w:rsid w:val="004D10FA"/>
    <w:rsid w:val="005048BD"/>
    <w:rsid w:val="00523E79"/>
    <w:rsid w:val="005607CC"/>
    <w:rsid w:val="00626B67"/>
    <w:rsid w:val="0069394D"/>
    <w:rsid w:val="006F36A0"/>
    <w:rsid w:val="008D3956"/>
    <w:rsid w:val="00917DA4"/>
    <w:rsid w:val="00924683"/>
    <w:rsid w:val="00965CA3"/>
    <w:rsid w:val="009857F8"/>
    <w:rsid w:val="00992EBA"/>
    <w:rsid w:val="00A93BF0"/>
    <w:rsid w:val="00B8240C"/>
    <w:rsid w:val="00CA5AC9"/>
    <w:rsid w:val="00D24ACD"/>
    <w:rsid w:val="00E5122D"/>
    <w:rsid w:val="00F15CA2"/>
    <w:rsid w:val="00F26AE8"/>
    <w:rsid w:val="00F42F0C"/>
    <w:rsid w:val="00FA559D"/>
    <w:rsid w:val="00FC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5A49"/>
  <w15:chartTrackingRefBased/>
  <w15:docId w15:val="{8D902075-329F-4372-A779-37432104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39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B4F"/>
    <w:pPr>
      <w:ind w:left="720"/>
      <w:contextualSpacing/>
    </w:pPr>
  </w:style>
  <w:style w:type="character" w:styleId="Hyperlink">
    <w:name w:val="Hyperlink"/>
    <w:basedOn w:val="DefaultParagraphFont"/>
    <w:uiPriority w:val="99"/>
    <w:unhideWhenUsed/>
    <w:rsid w:val="00225829"/>
    <w:rPr>
      <w:color w:val="0563C1" w:themeColor="hyperlink"/>
      <w:u w:val="single"/>
    </w:rPr>
  </w:style>
  <w:style w:type="character" w:styleId="FollowedHyperlink">
    <w:name w:val="FollowedHyperlink"/>
    <w:basedOn w:val="DefaultParagraphFont"/>
    <w:uiPriority w:val="99"/>
    <w:semiHidden/>
    <w:unhideWhenUsed/>
    <w:rsid w:val="00626B67"/>
    <w:rPr>
      <w:color w:val="954F72" w:themeColor="followedHyperlink"/>
      <w:u w:val="single"/>
    </w:rPr>
  </w:style>
  <w:style w:type="character" w:customStyle="1" w:styleId="Heading1Char">
    <w:name w:val="Heading 1 Char"/>
    <w:basedOn w:val="DefaultParagraphFont"/>
    <w:link w:val="Heading1"/>
    <w:uiPriority w:val="9"/>
    <w:rsid w:val="0069394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483590">
      <w:bodyDiv w:val="1"/>
      <w:marLeft w:val="0"/>
      <w:marRight w:val="0"/>
      <w:marTop w:val="0"/>
      <w:marBottom w:val="0"/>
      <w:divBdr>
        <w:top w:val="none" w:sz="0" w:space="0" w:color="auto"/>
        <w:left w:val="none" w:sz="0" w:space="0" w:color="auto"/>
        <w:bottom w:val="none" w:sz="0" w:space="0" w:color="auto"/>
        <w:right w:val="none" w:sz="0" w:space="0" w:color="auto"/>
      </w:divBdr>
    </w:div>
    <w:div w:id="18115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fs.semanticscholar.org/c058/d3408325b1934c8b2f4370bd07140ef0f028.pdf" TargetMode="External"/><Relationship Id="rId3" Type="http://schemas.openxmlformats.org/officeDocument/2006/relationships/settings" Target="settings.xml"/><Relationship Id="rId7" Type="http://schemas.openxmlformats.org/officeDocument/2006/relationships/hyperlink" Target="https://www.cdc.gov/labs/pdf/CDC-BiosafetyMicrobiologicalBiomedicalLaboratories-2020-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6793526/pdf/ns008571.pdf" TargetMode="External"/><Relationship Id="rId5" Type="http://schemas.openxmlformats.org/officeDocument/2006/relationships/hyperlink" Target="https://reader.elsevier.com/reader/sd/pii/S1357272500000510?token=603DFACEC1320662693C0C42107B2DE2B620482A91A2DD2C909742C6BE3943A2EF89C202FCB7AF7E1048FA264FA912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Mettus</dc:creator>
  <cp:keywords/>
  <dc:description/>
  <cp:lastModifiedBy>Artur Slupianek</cp:lastModifiedBy>
  <cp:revision>3</cp:revision>
  <dcterms:created xsi:type="dcterms:W3CDTF">2019-11-04T20:48:00Z</dcterms:created>
  <dcterms:modified xsi:type="dcterms:W3CDTF">2023-10-23T18:36:00Z</dcterms:modified>
</cp:coreProperties>
</file>